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101__20"/>
      <w:bookmarkEnd w:id="2"/>
      <w:r>
        <w:rPr>
          <w:rFonts w:ascii="Times New Roman;Times;Serif" w:hAnsi="Times New Roman;Times;Serif"/>
          <w:b/>
          <w:i w:val="false"/>
          <w:caps w:val="false"/>
          <w:smallCaps w:val="false"/>
          <w:sz w:val="36"/>
        </w:rPr>
        <w:t>10-Q</w:t>
      </w:r>
    </w:p>
    <w:p>
      <w:pPr>
        <w:pStyle w:val="TextBody"/>
        <w:bidi w:val="0"/>
        <w:spacing w:before="0" w:after="0"/>
        <w:jc w:val="center"/>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both"/>
              <w:rPr>
                <w:caps w:val="false"/>
                <w:smallCaps w:val="false"/>
              </w:rPr>
            </w:pPr>
            <w:bookmarkStart w:id="3" w:name="xdx_906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4_edei--DocumentPeriodEndDate_c202"/>
      <w:bookmarkEnd w:id="4"/>
      <w:r>
        <w:rPr>
          <w:rFonts w:ascii="Times New Roman;Times;Serif" w:hAnsi="Times New Roman;Times;Serif"/>
          <w:b/>
          <w:i w:val="false"/>
          <w:caps w:val="false"/>
          <w:smallCaps w:val="false"/>
          <w:sz w:val="20"/>
        </w:rPr>
        <w:t xml:space="preserve">June 30, </w:t>
      </w:r>
      <w:bookmarkStart w:id="5" w:name="xdx_904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aps w:val="false"/>
                <w:smallCaps w:val="false"/>
              </w:rPr>
            </w:pPr>
            <w:bookmarkStart w:id="6" w:name="xdx_908_edei--DocumentTransitionReport_c"/>
            <w:bookmarkEnd w:id="6"/>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 20___, to _____, 20___.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A_edei--EntityFileNumber_c20260101"/>
      <w:bookmarkEnd w:id="7"/>
      <w:r>
        <w:rPr>
          <w:rFonts w:ascii="Times New Roman;Times;Serif" w:hAnsi="Times New Roman;Times;Serif"/>
          <w:b/>
          <w:i w:val="false"/>
          <w:caps w:val="false"/>
          <w:smallCaps w:val="false"/>
          <w:sz w:val="20"/>
        </w:rPr>
        <w:t>001-41204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8" w:name="xdx_903_edei--EntityRegistrantName_c2026"/>
      <w:bookmarkEnd w:id="8"/>
      <w:r>
        <w:rPr>
          <w:rFonts w:ascii="Times New Roman;Times;Serif" w:hAnsi="Times New Roman;Times;Serif"/>
          <w:b/>
          <w:i w:val="false"/>
          <w:caps w:val="false"/>
          <w:smallCaps w:val="false"/>
          <w:sz w:val="36"/>
        </w:rPr>
        <w:t>Hour Loop,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480" w:type="dxa"/>
        <w:jc w:val="left"/>
        <w:tblInd w:w="0" w:type="dxa"/>
        <w:tblLayout w:type="fixed"/>
        <w:tblCellMar>
          <w:top w:w="0" w:type="dxa"/>
          <w:left w:w="0" w:type="dxa"/>
          <w:bottom w:w="28" w:type="dxa"/>
          <w:right w:w="0" w:type="dxa"/>
        </w:tblCellMar>
      </w:tblPr>
      <w:tblGrid>
        <w:gridCol w:w="2525"/>
        <w:gridCol w:w="60"/>
        <w:gridCol w:w="1895"/>
      </w:tblGrid>
      <w:tr>
        <w:trPr/>
        <w:tc>
          <w:tcPr>
            <w:tcW w:w="25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1_edei--EntityIncorporationStateCo"/>
            <w:bookmarkEnd w:id="9"/>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B_edei--EntityTaxIdentificationNum"/>
            <w:bookmarkEnd w:id="10"/>
            <w:r>
              <w:rPr>
                <w:rFonts w:ascii="Times New Roman;Times;Serif" w:hAnsi="Times New Roman;Times;Serif"/>
                <w:b/>
                <w:i w:val="false"/>
                <w:caps w:val="false"/>
                <w:smallCaps w:val="false"/>
                <w:sz w:val="20"/>
              </w:rPr>
              <w:t>47-2869399</w:t>
            </w:r>
          </w:p>
        </w:tc>
      </w:tr>
      <w:tr>
        <w:trPr/>
        <w:tc>
          <w:tcPr>
            <w:tcW w:w="252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jc w:val="center"/>
        <w:rPr>
          <w:caps w:val="false"/>
          <w:smallCaps w:val="false"/>
        </w:rPr>
      </w:pPr>
      <w:r>
        <w:rPr>
          <w:caps w:val="false"/>
          <w:smallCaps w:val="false"/>
        </w:rPr>
        <w:t> </w:t>
      </w:r>
    </w:p>
    <w:tbl>
      <w:tblPr>
        <w:tblW w:w="4375" w:type="dxa"/>
        <w:jc w:val="left"/>
        <w:tblInd w:w="0" w:type="dxa"/>
        <w:tblLayout w:type="fixed"/>
        <w:tblCellMar>
          <w:top w:w="0" w:type="dxa"/>
          <w:left w:w="0" w:type="dxa"/>
          <w:bottom w:w="28" w:type="dxa"/>
          <w:right w:w="0" w:type="dxa"/>
        </w:tblCellMar>
      </w:tblPr>
      <w:tblGrid>
        <w:gridCol w:w="3275"/>
        <w:gridCol w:w="60"/>
        <w:gridCol w:w="1040"/>
      </w:tblGrid>
      <w:tr>
        <w:trPr/>
        <w:tc>
          <w:tcPr>
            <w:tcW w:w="327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11" w:name="xdx_90F_edei--EntityAddressAddressLine1_"/>
            <w:bookmarkEnd w:id="11"/>
            <w:r>
              <w:rPr>
                <w:rFonts w:ascii="Times New Roman;Times;Serif" w:hAnsi="Times New Roman;Times;Serif"/>
                <w:b/>
                <w:i w:val="false"/>
                <w:caps w:val="false"/>
                <w:smallCaps w:val="false"/>
                <w:sz w:val="20"/>
              </w:rPr>
              <w:t>8201 164</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w:t>
            </w:r>
            <w:bookmarkStart w:id="12" w:name="xdx_908_edei--EntityAddressAddressLine2_"/>
            <w:bookmarkEnd w:id="12"/>
            <w:r>
              <w:rPr>
                <w:rFonts w:ascii="Times New Roman;Times;Serif" w:hAnsi="Times New Roman;Times;Serif"/>
                <w:b/>
                <w:i w:val="false"/>
                <w:caps w:val="false"/>
                <w:smallCaps w:val="false"/>
                <w:sz w:val="20"/>
              </w:rPr>
              <w:t>Ave. NE</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3" w:name="xdx_90E_edei--EntityAddressCityOrTown_c2"/>
            <w:bookmarkEnd w:id="13"/>
            <w:r>
              <w:rPr>
                <w:rFonts w:ascii="Times New Roman;Times;Serif" w:hAnsi="Times New Roman;Times;Serif"/>
                <w:b/>
                <w:i w:val="false"/>
                <w:caps w:val="false"/>
                <w:smallCaps w:val="false"/>
                <w:sz w:val="20"/>
              </w:rPr>
              <w:t xml:space="preserve">Redmond, </w:t>
            </w:r>
            <w:bookmarkStart w:id="14" w:name="xdx_90B_edei--EntityAddressStateOrProvin"/>
            <w:bookmarkEnd w:id="14"/>
            <w:r>
              <w:rPr>
                <w:rFonts w:ascii="Times New Roman;Times;Serif" w:hAnsi="Times New Roman;Times;Serif"/>
                <w:b/>
                <w:i w:val="false"/>
                <w:caps w:val="false"/>
                <w:smallCaps w:val="false"/>
                <w:sz w:val="20"/>
              </w:rPr>
              <w:t>WA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5" w:name="xdx_90F_edei--EntityAddressPostalZipCode"/>
            <w:bookmarkEnd w:id="15"/>
            <w:r>
              <w:rPr>
                <w:rFonts w:ascii="Times New Roman;Times;Serif" w:hAnsi="Times New Roman;Times;Serif"/>
                <w:b/>
                <w:i w:val="false"/>
                <w:caps w:val="false"/>
                <w:smallCaps w:val="false"/>
                <w:sz w:val="20"/>
              </w:rPr>
              <w:t>98052-7615</w:t>
            </w:r>
          </w:p>
        </w:tc>
      </w:tr>
      <w:tr>
        <w:trPr/>
        <w:tc>
          <w:tcPr>
            <w:tcW w:w="3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t>
      </w:r>
      <w:bookmarkStart w:id="16" w:name="xdx_904_edei--CityAreaCode_c20260101__20"/>
      <w:bookmarkEnd w:id="16"/>
      <w:r>
        <w:rPr>
          <w:rFonts w:ascii="Times New Roman;Times;Serif" w:hAnsi="Times New Roman;Times;Serif"/>
          <w:b/>
          <w:i w:val="false"/>
          <w:caps w:val="false"/>
          <w:smallCaps w:val="false"/>
          <w:sz w:val="20"/>
          <w:u w:val="single"/>
        </w:rPr>
        <w:t xml:space="preserve">206) </w:t>
      </w:r>
      <w:bookmarkStart w:id="17" w:name="xdx_903_edei--LocalPhoneNumber_c20260101"/>
      <w:bookmarkEnd w:id="17"/>
      <w:r>
        <w:rPr>
          <w:rFonts w:ascii="Times New Roman;Times;Serif" w:hAnsi="Times New Roman;Times;Serif"/>
          <w:b/>
          <w:i w:val="false"/>
          <w:caps w:val="false"/>
          <w:smallCaps w:val="false"/>
          <w:sz w:val="20"/>
          <w:u w:val="single"/>
        </w:rPr>
        <w:t>385-0488, ext. 100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65" w:type="dxa"/>
        <w:jc w:val="left"/>
        <w:tblInd w:w="0" w:type="dxa"/>
        <w:tblLayout w:type="fixed"/>
        <w:tblCellMar>
          <w:top w:w="0" w:type="dxa"/>
          <w:left w:w="0" w:type="dxa"/>
          <w:bottom w:w="28" w:type="dxa"/>
          <w:right w:w="0" w:type="dxa"/>
        </w:tblCellMar>
      </w:tblPr>
      <w:tblGrid>
        <w:gridCol w:w="1535"/>
        <w:gridCol w:w="60"/>
        <w:gridCol w:w="1610"/>
        <w:gridCol w:w="60"/>
        <w:gridCol w:w="3800"/>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2_edei--Security12bTitle_c20260101"/>
            <w:bookmarkEnd w:id="18"/>
            <w:r>
              <w:rPr>
                <w:rFonts w:ascii="Times New Roman;Times;Serif" w:hAnsi="Times New Roman;Times;Serif"/>
                <w:b w:val="false"/>
                <w:i w:val="false"/>
                <w:caps w:val="false"/>
                <w:smallCaps w:val="false"/>
                <w:sz w:val="20"/>
              </w:rPr>
              <w:t>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A_edei--TradingSymbol_c20260101__2"/>
            <w:bookmarkEnd w:id="19"/>
            <w:r>
              <w:rPr>
                <w:rFonts w:ascii="Times New Roman;Times;Serif" w:hAnsi="Times New Roman;Times;Serif"/>
                <w:b w:val="false"/>
                <w:i w:val="false"/>
                <w:caps w:val="false"/>
                <w:smallCaps w:val="false"/>
                <w:sz w:val="20"/>
              </w:rPr>
              <w:t>HOUR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1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B_edei--EntityCurrentReportingStat"/>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2" w:name="xdx_900_edei--EntityInteractiveDataCurre"/>
      <w:bookmarkEnd w:id="22"/>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940" w:type="dxa"/>
        <w:jc w:val="left"/>
        <w:tblInd w:w="0" w:type="dxa"/>
        <w:tblLayout w:type="fixed"/>
        <w:tblCellMar>
          <w:top w:w="0" w:type="dxa"/>
          <w:left w:w="0" w:type="dxa"/>
          <w:bottom w:w="0" w:type="dxa"/>
          <w:right w:w="0" w:type="dxa"/>
        </w:tblCellMar>
      </w:tblPr>
      <w:tblGrid>
        <w:gridCol w:w="2240"/>
        <w:gridCol w:w="230"/>
        <w:gridCol w:w="2225"/>
        <w:gridCol w:w="245"/>
      </w:tblGrid>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3" w:name="xdx_90C_edei--EntityFilerCategory_c20260"/>
            <w:bookmarkEnd w:id="23"/>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bookmarkStart w:id="24" w:name="xdx_90A_edei--EntitySmallBusiness_c20260"/>
            <w:bookmarkEnd w:id="24"/>
            <w:r>
              <w:rPr>
                <w:caps w:val="false"/>
                <w:smallCaps w:val="false"/>
              </w:rPr>
              <w:t>☒</w:t>
            </w:r>
          </w:p>
        </w:tc>
      </w:tr>
      <w:tr>
        <w:trPr/>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30" w:type="dxa"/>
            <w:tcBorders/>
            <w:vAlign w:val="center"/>
          </w:tcPr>
          <w:p>
            <w:pPr>
              <w:pStyle w:val="TableContents"/>
              <w:bidi w:val="0"/>
              <w:spacing w:before="0" w:after="283"/>
              <w:jc w:val="left"/>
              <w:rPr>
                <w:caps w:val="false"/>
                <w:smallCaps w:val="false"/>
              </w:rPr>
            </w:pPr>
            <w:bookmarkStart w:id="25" w:name="xdx_90C_edei--EntityEmergingGrowthCompan"/>
            <w:bookmarkEnd w:id="25"/>
            <w:r>
              <w:rPr>
                <w:caps w:val="false"/>
                <w:smallCaps w:val="false"/>
              </w:rPr>
              <w:t>☒</w:t>
            </w:r>
          </w:p>
        </w:tc>
        <w:tc>
          <w:tcPr>
            <w:tcW w:w="222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C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7" w:name="xdx_90A_edei--EntityShellCompany_dbF_c20"/>
      <w:bookmarkEnd w:id="27"/>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11, 2026, there were </w:t>
      </w:r>
      <w:bookmarkStart w:id="28" w:name="xdx_905_edei--EntityCommonStockSharesOut"/>
      <w:bookmarkEnd w:id="28"/>
      <w:r>
        <w:rPr>
          <w:rFonts w:ascii="Times New Roman;Times;Serif" w:hAnsi="Times New Roman;Times;Serif"/>
          <w:b w:val="false"/>
          <w:i w:val="false"/>
          <w:caps w:val="false"/>
          <w:smallCaps w:val="false"/>
          <w:sz w:val="20"/>
        </w:rPr>
        <w:t>35,199,820 shares of common stock, par value $</w:t>
      </w:r>
      <w:bookmarkStart w:id="29" w:name="xdx_901_edei--EntityListingParValuePerSh"/>
      <w:bookmarkEnd w:id="29"/>
      <w:r>
        <w:rPr>
          <w:rFonts w:ascii="Times New Roman;Times;Serif" w:hAnsi="Times New Roman;Times;Serif"/>
          <w:b w:val="false"/>
          <w:i w:val="false"/>
          <w:caps w:val="false"/>
          <w:smallCaps w:val="false"/>
          <w:sz w:val="20"/>
        </w:rPr>
        <w:t>0.0001 per share, of the registrant issued and outstanding.</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Contents</w:t>
      </w:r>
    </w:p>
    <w:p>
      <w:pPr>
        <w:pStyle w:val="TextBody"/>
        <w:bidi w:val="0"/>
        <w:spacing w:before="0" w:after="0"/>
        <w:jc w:val="center"/>
        <w:rPr>
          <w:caps w:val="false"/>
          <w:smallCaps w:val="false"/>
        </w:rPr>
      </w:pPr>
      <w:r>
        <w:rPr>
          <w:caps w:val="false"/>
          <w:smallCaps w:val="false"/>
        </w:rPr>
        <w:t> </w:t>
      </w:r>
    </w:p>
    <w:tbl>
      <w:tblPr>
        <w:tblW w:w="8670" w:type="dxa"/>
        <w:jc w:val="left"/>
        <w:tblInd w:w="0" w:type="dxa"/>
        <w:tblLayout w:type="fixed"/>
        <w:tblCellMar>
          <w:top w:w="0" w:type="dxa"/>
          <w:left w:w="0" w:type="dxa"/>
          <w:bottom w:w="0" w:type="dxa"/>
          <w:right w:w="0" w:type="dxa"/>
        </w:tblCellMar>
      </w:tblPr>
      <w:tblGrid>
        <w:gridCol w:w="935"/>
        <w:gridCol w:w="7280"/>
        <w:gridCol w:w="455"/>
      </w:tblGrid>
      <w:tr>
        <w:trPr/>
        <w:tc>
          <w:tcPr>
            <w:tcW w:w="82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215" w:type="dxa"/>
            <w:gridSpan w:val="2"/>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FINANCIAL INFORMATION</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CCEEFF" w:val="clear"/>
            <w:vAlign w:val="center"/>
          </w:tcPr>
          <w:p>
            <w:pPr>
              <w:pStyle w:val="TableContents"/>
              <w:bidi w:val="0"/>
              <w:spacing w:before="0" w:after="283"/>
              <w:jc w:val="left"/>
              <w:rPr/>
            </w:pPr>
            <w:hyperlink w:anchor="sa_001">
              <w:r>
                <w:rPr>
                  <w:rStyle w:val="InternetLink"/>
                  <w:rFonts w:ascii="Times New Roman;Times;Serif" w:hAnsi="Times New Roman;Times;Serif"/>
                  <w:b w:val="false"/>
                  <w:i w:val="false"/>
                  <w:caps w:val="false"/>
                  <w:smallCaps w:val="false"/>
                  <w:sz w:val="20"/>
                </w:rPr>
                <w:t>Financial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left"/>
              <w:rPr/>
            </w:pPr>
            <w:hyperlink w:anchor="sh_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CCEEFF" w:val="clear"/>
            <w:vAlign w:val="center"/>
          </w:tcPr>
          <w:p>
            <w:pPr>
              <w:pStyle w:val="TableContents"/>
              <w:bidi w:val="0"/>
              <w:spacing w:before="0" w:after="283"/>
              <w:jc w:val="left"/>
              <w:rPr/>
            </w:pPr>
            <w:hyperlink w:anchor="sh_00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left"/>
              <w:rPr/>
            </w:pPr>
            <w:hyperlink w:anchor="sh_003">
              <w:r>
                <w:rPr>
                  <w:rStyle w:val="InternetLink"/>
                  <w:rFonts w:ascii="Times New Roman;Times;Serif" w:hAnsi="Times New Roman;Times;Serif"/>
                  <w:b w:val="false"/>
                  <w:i w:val="false"/>
                  <w:caps w:val="false"/>
                  <w:smallCaps w:val="false"/>
                  <w:sz w:val="20"/>
                </w:rPr>
                <w:t>Controls and Procedures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8215" w:type="dxa"/>
            <w:gridSpan w:val="2"/>
            <w:tcBorders/>
            <w:shd w:fill="CCEEFF" w:val="clear"/>
            <w:vAlign w:val="center"/>
          </w:tcPr>
          <w:p>
            <w:pPr>
              <w:pStyle w:val="TableContents"/>
              <w:bidi w:val="0"/>
              <w:spacing w:before="0" w:after="283"/>
              <w:jc w:val="left"/>
              <w:rPr/>
            </w:pPr>
            <w:hyperlink w:anchor="sh_004">
              <w:r>
                <w:rPr>
                  <w:rStyle w:val="InternetLink"/>
                  <w:rFonts w:ascii="Times New Roman;Times;Serif" w:hAnsi="Times New Roman;Times;Serif"/>
                  <w:b/>
                  <w:i w:val="false"/>
                  <w:caps w:val="false"/>
                  <w:smallCaps w:val="false"/>
                  <w:sz w:val="20"/>
                </w:rPr>
                <w:t>PART II - OTHER INFORMATION</w:t>
              </w:r>
            </w:hyperlink>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7280" w:type="dxa"/>
            <w:tcBorders/>
            <w:shd w:fill="CCEEFF" w:val="clear"/>
            <w:vAlign w:val="center"/>
          </w:tcPr>
          <w:p>
            <w:pPr>
              <w:pStyle w:val="TableContents"/>
              <w:bidi w:val="0"/>
              <w:spacing w:before="0" w:after="283"/>
              <w:jc w:val="left"/>
              <w:rPr/>
            </w:pPr>
            <w:hyperlink w:anchor="sh_005">
              <w:r>
                <w:rPr>
                  <w:rStyle w:val="InternetLink"/>
                  <w:rFonts w:ascii="Times New Roman;Times;Serif" w:hAnsi="Times New Roman;Times;Serif"/>
                  <w:b w:val="false"/>
                  <w:i w:val="false"/>
                  <w:caps w:val="false"/>
                  <w:smallCaps w:val="false"/>
                  <w:sz w:val="20"/>
                </w:rPr>
                <w:t>Legal Proceedings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7280" w:type="dxa"/>
            <w:tcBorders/>
            <w:shd w:fill="CCEEFF" w:val="clear"/>
            <w:vAlign w:val="center"/>
          </w:tcPr>
          <w:p>
            <w:pPr>
              <w:pStyle w:val="TableContents"/>
              <w:bidi w:val="0"/>
              <w:spacing w:before="0" w:after="283"/>
              <w:jc w:val="left"/>
              <w:rPr/>
            </w:pPr>
            <w:hyperlink w:anchor="sh_006">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7280" w:type="dxa"/>
            <w:tcBorders/>
            <w:shd w:fill="CCEEFF" w:val="clear"/>
            <w:vAlign w:val="center"/>
          </w:tcPr>
          <w:p>
            <w:pPr>
              <w:pStyle w:val="TableContents"/>
              <w:bidi w:val="0"/>
              <w:spacing w:before="0" w:after="283"/>
              <w:jc w:val="left"/>
              <w:rPr/>
            </w:pPr>
            <w:hyperlink w:anchor="sh_007">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7280" w:type="dxa"/>
            <w:tcBorders/>
            <w:shd w:fill="CCEEFF" w:val="clear"/>
            <w:vAlign w:val="center"/>
          </w:tcPr>
          <w:p>
            <w:pPr>
              <w:pStyle w:val="TableContents"/>
              <w:bidi w:val="0"/>
              <w:spacing w:before="0" w:after="283"/>
              <w:jc w:val="left"/>
              <w:rPr/>
            </w:pPr>
            <w:hyperlink w:anchor="sh_008">
              <w:r>
                <w:rPr>
                  <w:rStyle w:val="InternetLink"/>
                  <w:rFonts w:ascii="Times New Roman;Times;Serif" w:hAnsi="Times New Roman;Times;Serif"/>
                  <w:b w:val="false"/>
                  <w:i w:val="false"/>
                  <w:caps w:val="false"/>
                  <w:smallCaps w:val="false"/>
                  <w:sz w:val="20"/>
                </w:rPr>
                <w:t>Defaults Upon Senior Securities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7280" w:type="dxa"/>
            <w:tcBorders/>
            <w:shd w:fill="CCEEFF" w:val="clear"/>
            <w:vAlign w:val="center"/>
          </w:tcPr>
          <w:p>
            <w:pPr>
              <w:pStyle w:val="TableContents"/>
              <w:bidi w:val="0"/>
              <w:spacing w:before="0" w:after="283"/>
              <w:jc w:val="left"/>
              <w:rPr/>
            </w:pPr>
            <w:hyperlink w:anchor="sh_009">
              <w:r>
                <w:rPr>
                  <w:rStyle w:val="InternetLink"/>
                  <w:rFonts w:ascii="Times New Roman;Times;Serif" w:hAnsi="Times New Roman;Times;Serif"/>
                  <w:b w:val="false"/>
                  <w:i w:val="false"/>
                  <w:caps w:val="false"/>
                  <w:smallCaps w:val="false"/>
                  <w:sz w:val="20"/>
                </w:rPr>
                <w:t>Mine Safety Disclosures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7280" w:type="dxa"/>
            <w:tcBorders/>
            <w:shd w:fill="CCEEFF" w:val="clear"/>
            <w:vAlign w:val="center"/>
          </w:tcPr>
          <w:p>
            <w:pPr>
              <w:pStyle w:val="TableContents"/>
              <w:bidi w:val="0"/>
              <w:spacing w:before="0" w:after="283"/>
              <w:jc w:val="left"/>
              <w:rPr/>
            </w:pPr>
            <w:hyperlink w:anchor="sh_010">
              <w:r>
                <w:rPr>
                  <w:rStyle w:val="InternetLink"/>
                  <w:rFonts w:ascii="Times New Roman;Times;Serif" w:hAnsi="Times New Roman;Times;Serif"/>
                  <w:b w:val="false"/>
                  <w:i w:val="false"/>
                  <w:caps w:val="false"/>
                  <w:smallCaps w:val="false"/>
                  <w:sz w:val="20"/>
                </w:rPr>
                <w:t>Other Information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7280" w:type="dxa"/>
            <w:tcBorders/>
            <w:shd w:fill="CCEEFF" w:val="clear"/>
            <w:vAlign w:val="center"/>
          </w:tcPr>
          <w:p>
            <w:pPr>
              <w:pStyle w:val="TableContents"/>
              <w:bidi w:val="0"/>
              <w:spacing w:before="0" w:after="283"/>
              <w:jc w:val="left"/>
              <w:rPr/>
            </w:pPr>
            <w:hyperlink w:anchor="sh_011">
              <w:r>
                <w:rPr>
                  <w:rStyle w:val="InternetLink"/>
                  <w:rFonts w:ascii="Times New Roman;Times;Serif" w:hAnsi="Times New Roman;Times;Serif"/>
                  <w:b w:val="false"/>
                  <w:i w:val="false"/>
                  <w:caps w:val="false"/>
                  <w:smallCaps w:val="false"/>
                  <w:sz w:val="20"/>
                </w:rPr>
                <w:t>Exhibits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9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shd w:fill="CCEEFF" w:val="clear"/>
            <w:vAlign w:val="center"/>
          </w:tcPr>
          <w:p>
            <w:pPr>
              <w:pStyle w:val="TableContents"/>
              <w:bidi w:val="0"/>
              <w:spacing w:before="0" w:after="283"/>
              <w:jc w:val="left"/>
              <w:rPr/>
            </w:pPr>
            <w:hyperlink w:anchor="sh_012">
              <w:r>
                <w:rPr>
                  <w:rStyle w:val="InternetLink"/>
                  <w:rFonts w:ascii="Times New Roman;Times;Serif" w:hAnsi="Times New Roman;Times;Serif"/>
                  <w:b/>
                  <w:i w:val="false"/>
                  <w:caps w:val="false"/>
                  <w:smallCaps w:val="false"/>
                  <w:sz w:val="20"/>
                </w:rPr>
                <w:t>Signatures</w:t>
              </w:r>
            </w:hyperlink>
          </w:p>
        </w:tc>
        <w:tc>
          <w:tcPr>
            <w:tcW w:w="72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0" w:name="sa_001"/>
      <w:bookmarkEnd w:id="30"/>
      <w:r>
        <w:rPr>
          <w:rFonts w:ascii="Times New Roman;Times;Serif" w:hAnsi="Times New Roman;Times;Serif"/>
          <w:b/>
          <w:i w:val="false"/>
          <w:caps w:val="false"/>
          <w:smallCaps w:val="false"/>
          <w:sz w:val="20"/>
        </w:rPr>
        <w:t>Item 1.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except for share and per share data)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 and December 31,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 w:name="xdx_30B_111_z3b0WtBLZTag"/>
      <w:bookmarkStart w:id="32" w:name="xdx_30B_111_z3b0WtBLZTag"/>
      <w:bookmarkEnd w:id="32"/>
    </w:p>
    <w:tbl>
      <w:tblPr>
        <w:tblW w:w="10205" w:type="dxa"/>
        <w:jc w:val="left"/>
        <w:tblInd w:w="0" w:type="dxa"/>
        <w:tblLayout w:type="fixed"/>
        <w:tblCellMar>
          <w:top w:w="0" w:type="dxa"/>
          <w:left w:w="0" w:type="dxa"/>
          <w:bottom w:w="0" w:type="dxa"/>
          <w:right w:w="0" w:type="dxa"/>
        </w:tblCellMar>
      </w:tblPr>
      <w:tblGrid>
        <w:gridCol w:w="7212"/>
        <w:gridCol w:w="60"/>
        <w:gridCol w:w="144"/>
        <w:gridCol w:w="1134"/>
        <w:gridCol w:w="60"/>
        <w:gridCol w:w="60"/>
        <w:gridCol w:w="164"/>
        <w:gridCol w:w="1295"/>
        <w:gridCol w:w="76"/>
      </w:tblGrid>
      <w:tr>
        <w:trPr/>
        <w:tc>
          <w:tcPr>
            <w:tcW w:w="72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 w:name="xdx_496_20260630_zZ7G7s3xXNO7"/>
            <w:bookmarkEnd w:id="33"/>
          </w:p>
        </w:tc>
        <w:tc>
          <w:tcPr>
            <w:tcW w:w="1278" w:type="dxa"/>
            <w:gridSpan w:val="2"/>
            <w:tcBorders>
              <w:bottom w:val="single" w:sz="8" w:space="0" w:color="000000"/>
            </w:tcBorders>
            <w:tcMar>
              <w:bottom w:w="28" w:type="dxa"/>
            </w:tcMar>
            <w:vAlign w:val="center"/>
          </w:tcPr>
          <w:p>
            <w:pPr>
              <w:pStyle w:val="TableContents"/>
              <w:bidi w:val="0"/>
              <w:spacing w:before="0" w:after="283"/>
              <w:jc w:val="center"/>
              <w:rPr/>
            </w:pPr>
            <w:r>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 w:name="xdx_49D_20251231_z2EeZ1NOg0l4"/>
            <w:bookmarkEnd w:id="34"/>
          </w:p>
        </w:tc>
        <w:tc>
          <w:tcPr>
            <w:tcW w:w="1459" w:type="dxa"/>
            <w:gridSpan w:val="2"/>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76" w:type="dxa"/>
            <w:tcBorders/>
            <w:vAlign w:val="center"/>
          </w:tcPr>
          <w:p>
            <w:pPr>
              <w:pStyle w:val="TableContents"/>
              <w:bidi w:val="0"/>
              <w:spacing w:before="0" w:after="283"/>
              <w:jc w:val="left"/>
              <w:rPr/>
            </w:pPr>
            <w:r>
              <w:rPr/>
              <w:t> </w:t>
            </w:r>
          </w:p>
        </w:tc>
      </w:tr>
      <w:tr>
        <w:trPr/>
        <w:tc>
          <w:tcPr>
            <w:tcW w:w="72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8"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bookmarkStart w:id="35" w:name="xdx_402_eus-gaap--AssetsAbstract_iB_zlCv"/>
            <w:bookmarkEnd w:id="35"/>
          </w:p>
        </w:tc>
      </w:tr>
      <w:tr>
        <w:trPr/>
        <w:tc>
          <w:tcPr>
            <w:tcW w:w="7212"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bookmarkStart w:id="36" w:name="xdx_406_eus-gaap--AssetsCurrentAbstract_"/>
            <w:bookmarkEnd w:id="36"/>
          </w:p>
        </w:tc>
      </w:tr>
      <w:tr>
        <w:trPr/>
        <w:tc>
          <w:tcPr>
            <w:tcW w:w="7212"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bookmarkStart w:id="37" w:name="xdx_408_eus-gaap--Cash_i02I_maCzlRt_zjHd"/>
            <w:bookmarkEnd w:id="37"/>
          </w:p>
        </w:tc>
      </w:tr>
      <w:tr>
        <w:trPr/>
        <w:tc>
          <w:tcPr>
            <w:tcW w:w="7212"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985,404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3,792,033</w:t>
            </w:r>
          </w:p>
        </w:tc>
        <w:tc>
          <w:tcPr>
            <w:tcW w:w="76" w:type="dxa"/>
            <w:tcBorders/>
            <w:shd w:fill="CCEEFF" w:val="clear"/>
            <w:vAlign w:val="center"/>
          </w:tcPr>
          <w:p>
            <w:pPr>
              <w:pStyle w:val="TableContents"/>
              <w:bidi w:val="0"/>
              <w:spacing w:before="0" w:after="283"/>
              <w:jc w:val="left"/>
              <w:rPr/>
            </w:pPr>
            <w:r>
              <w:rPr/>
              <w:t> </w:t>
            </w:r>
            <w:bookmarkStart w:id="38" w:name="xdx_408_eus-gaap--AccountsReceivableNetC"/>
            <w:bookmarkEnd w:id="38"/>
          </w:p>
        </w:tc>
      </w:tr>
      <w:tr>
        <w:trPr/>
        <w:tc>
          <w:tcPr>
            <w:tcW w:w="7212"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2,706,742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235,959</w:t>
            </w:r>
          </w:p>
        </w:tc>
        <w:tc>
          <w:tcPr>
            <w:tcW w:w="76" w:type="dxa"/>
            <w:tcBorders/>
            <w:shd w:fill="FFFFFF" w:val="clear"/>
            <w:vAlign w:val="center"/>
          </w:tcPr>
          <w:p>
            <w:pPr>
              <w:pStyle w:val="TableContents"/>
              <w:bidi w:val="0"/>
              <w:spacing w:before="0" w:after="283"/>
              <w:jc w:val="left"/>
              <w:rPr/>
            </w:pPr>
            <w:r>
              <w:rPr/>
              <w:t> </w:t>
            </w:r>
            <w:bookmarkStart w:id="39" w:name="xdx_400_eus-gaap--InventoryNet_i02I_maCz"/>
            <w:bookmarkEnd w:id="39"/>
          </w:p>
        </w:tc>
      </w:tr>
      <w:tr>
        <w:trPr/>
        <w:tc>
          <w:tcPr>
            <w:tcW w:w="7212" w:type="dxa"/>
            <w:tcBorders/>
            <w:shd w:fill="CCEEFF" w:val="clear"/>
            <w:vAlign w:val="center"/>
          </w:tcPr>
          <w:p>
            <w:pPr>
              <w:pStyle w:val="TableContents"/>
              <w:bidi w:val="0"/>
              <w:spacing w:before="0" w:after="283"/>
              <w:jc w:val="left"/>
              <w:rPr/>
            </w:pPr>
            <w:r>
              <w:rPr/>
              <w:t>Inventory, net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20,852,287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18,298,935</w:t>
            </w:r>
          </w:p>
        </w:tc>
        <w:tc>
          <w:tcPr>
            <w:tcW w:w="76" w:type="dxa"/>
            <w:tcBorders/>
            <w:shd w:fill="CCEEFF" w:val="clear"/>
            <w:vAlign w:val="center"/>
          </w:tcPr>
          <w:p>
            <w:pPr>
              <w:pStyle w:val="TableContents"/>
              <w:bidi w:val="0"/>
              <w:spacing w:before="0" w:after="283"/>
              <w:jc w:val="left"/>
              <w:rPr/>
            </w:pPr>
            <w:r>
              <w:rPr/>
              <w:t> </w:t>
            </w:r>
            <w:bookmarkStart w:id="40" w:name="xdx_407_eus-gaap--PrepaidExpenseAndOther"/>
            <w:bookmarkEnd w:id="40"/>
          </w:p>
        </w:tc>
      </w:tr>
      <w:tr>
        <w:trPr/>
        <w:tc>
          <w:tcPr>
            <w:tcW w:w="7212"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FFFFF" w:val="clear"/>
            <w:tcMar>
              <w:bottom w:w="28" w:type="dxa"/>
            </w:tcMar>
            <w:vAlign w:val="center"/>
          </w:tcPr>
          <w:p>
            <w:pPr>
              <w:pStyle w:val="TableContents"/>
              <w:bidi w:val="0"/>
              <w:spacing w:before="0" w:after="283"/>
              <w:jc w:val="right"/>
              <w:rPr/>
            </w:pPr>
            <w:r>
              <w:rPr/>
              <w:t>1,143,145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619,261</w:t>
            </w:r>
          </w:p>
        </w:tc>
        <w:tc>
          <w:tcPr>
            <w:tcW w:w="76" w:type="dxa"/>
            <w:tcBorders/>
            <w:shd w:fill="FFFFFF" w:val="clear"/>
            <w:vAlign w:val="center"/>
          </w:tcPr>
          <w:p>
            <w:pPr>
              <w:pStyle w:val="TableContents"/>
              <w:bidi w:val="0"/>
              <w:spacing w:before="0" w:after="283"/>
              <w:jc w:val="left"/>
              <w:rPr/>
            </w:pPr>
            <w:r>
              <w:rPr/>
              <w:t> </w:t>
            </w:r>
            <w:bookmarkStart w:id="41" w:name="xdx_40D_eus-gaap--AssetsCurrent_i02TI_mt"/>
            <w:bookmarkEnd w:id="41"/>
          </w:p>
        </w:tc>
      </w:tr>
      <w:tr>
        <w:trPr/>
        <w:tc>
          <w:tcPr>
            <w:tcW w:w="7212"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25,687,578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22,946,188</w:t>
            </w:r>
          </w:p>
        </w:tc>
        <w:tc>
          <w:tcPr>
            <w:tcW w:w="76" w:type="dxa"/>
            <w:tcBorders/>
            <w:shd w:fill="CCEEFF"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bookmarkStart w:id="42" w:name="xdx_40F_eus-gaap--PropertyPlantAndEquipm"/>
            <w:bookmarkEnd w:id="42"/>
          </w:p>
        </w:tc>
      </w:tr>
      <w:tr>
        <w:trPr/>
        <w:tc>
          <w:tcPr>
            <w:tcW w:w="7212"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75,791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95,917</w:t>
            </w:r>
          </w:p>
        </w:tc>
        <w:tc>
          <w:tcPr>
            <w:tcW w:w="76" w:type="dxa"/>
            <w:tcBorders/>
            <w:shd w:fill="CCEEFF" w:val="clear"/>
            <w:vAlign w:val="center"/>
          </w:tcPr>
          <w:p>
            <w:pPr>
              <w:pStyle w:val="TableContents"/>
              <w:bidi w:val="0"/>
              <w:spacing w:before="0" w:after="283"/>
              <w:jc w:val="left"/>
              <w:rPr/>
            </w:pPr>
            <w:r>
              <w:rPr/>
              <w:t> </w:t>
            </w:r>
            <w:bookmarkStart w:id="43" w:name="xdx_405_eus-gaap--DeferredIncomeTaxAsset"/>
            <w:bookmarkEnd w:id="43"/>
          </w:p>
        </w:tc>
      </w:tr>
      <w:tr>
        <w:trPr/>
        <w:tc>
          <w:tcPr>
            <w:tcW w:w="7212" w:type="dxa"/>
            <w:tcBorders/>
            <w:shd w:fill="FFFFFF" w:val="clear"/>
            <w:vAlign w:val="center"/>
          </w:tcPr>
          <w:p>
            <w:pPr>
              <w:pStyle w:val="TableContents"/>
              <w:bidi w:val="0"/>
              <w:spacing w:before="0" w:after="283"/>
              <w:jc w:val="left"/>
              <w:rPr/>
            </w:pPr>
            <w:r>
              <w:rPr/>
              <w:t>Deferred tax assets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293,089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609,964</w:t>
            </w:r>
          </w:p>
        </w:tc>
        <w:tc>
          <w:tcPr>
            <w:tcW w:w="76" w:type="dxa"/>
            <w:tcBorders/>
            <w:shd w:fill="FFFFFF" w:val="clear"/>
            <w:vAlign w:val="center"/>
          </w:tcPr>
          <w:p>
            <w:pPr>
              <w:pStyle w:val="TableContents"/>
              <w:bidi w:val="0"/>
              <w:spacing w:before="0" w:after="283"/>
              <w:jc w:val="left"/>
              <w:rPr/>
            </w:pPr>
            <w:r>
              <w:rPr/>
              <w:t> </w:t>
            </w:r>
            <w:bookmarkStart w:id="44" w:name="xdx_409_eus-gaap--OperatingLeaseRightOfU"/>
            <w:bookmarkEnd w:id="44"/>
          </w:p>
        </w:tc>
      </w:tr>
      <w:tr>
        <w:trPr/>
        <w:tc>
          <w:tcPr>
            <w:tcW w:w="7212" w:type="dxa"/>
            <w:tcBorders/>
            <w:shd w:fill="CCEEFF" w:val="clear"/>
            <w:vAlign w:val="center"/>
          </w:tcPr>
          <w:p>
            <w:pPr>
              <w:pStyle w:val="TableContents"/>
              <w:bidi w:val="0"/>
              <w:spacing w:before="0" w:after="283"/>
              <w:jc w:val="left"/>
              <w:rPr/>
            </w:pPr>
            <w:r>
              <w:rPr/>
              <w:t>Operating lease right-of-use lease assets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CCEEFF" w:val="clear"/>
            <w:tcMar>
              <w:bottom w:w="28" w:type="dxa"/>
            </w:tcMar>
            <w:vAlign w:val="center"/>
          </w:tcPr>
          <w:p>
            <w:pPr>
              <w:pStyle w:val="TableContents"/>
              <w:bidi w:val="0"/>
              <w:spacing w:before="0" w:after="283"/>
              <w:jc w:val="right"/>
              <w:rPr/>
            </w:pPr>
            <w:r>
              <w:rPr/>
              <w:t>124,861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169,368</w:t>
            </w:r>
          </w:p>
        </w:tc>
        <w:tc>
          <w:tcPr>
            <w:tcW w:w="76" w:type="dxa"/>
            <w:tcBorders/>
            <w:shd w:fill="CCEEFF" w:val="clear"/>
            <w:vAlign w:val="center"/>
          </w:tcPr>
          <w:p>
            <w:pPr>
              <w:pStyle w:val="TableContents"/>
              <w:bidi w:val="0"/>
              <w:spacing w:before="0" w:after="283"/>
              <w:jc w:val="left"/>
              <w:rPr/>
            </w:pPr>
            <w:r>
              <w:rPr/>
              <w:t> </w:t>
            </w:r>
            <w:bookmarkStart w:id="45" w:name="xdx_406_eus-gaap--AssetsNoncurrent_i01TI"/>
            <w:bookmarkEnd w:id="45"/>
          </w:p>
        </w:tc>
      </w:tr>
      <w:tr>
        <w:trPr/>
        <w:tc>
          <w:tcPr>
            <w:tcW w:w="7212" w:type="dxa"/>
            <w:tcBorders/>
            <w:shd w:fill="FFFFFF" w:val="clear"/>
            <w:vAlign w:val="center"/>
          </w:tcPr>
          <w:p>
            <w:pPr>
              <w:pStyle w:val="TableContents"/>
              <w:bidi w:val="0"/>
              <w:spacing w:before="0" w:after="283"/>
              <w:jc w:val="left"/>
              <w:rPr/>
            </w:pPr>
            <w:r>
              <w:rPr/>
              <w:t>Total non-current assets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493,741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875,249</w:t>
            </w:r>
          </w:p>
        </w:tc>
        <w:tc>
          <w:tcPr>
            <w:tcW w:w="76" w:type="dxa"/>
            <w:tcBorders/>
            <w:shd w:fill="FFFFFF" w:val="clear"/>
            <w:vAlign w:val="center"/>
          </w:tcPr>
          <w:p>
            <w:pPr>
              <w:pStyle w:val="TableContents"/>
              <w:bidi w:val="0"/>
              <w:spacing w:before="0" w:after="283"/>
              <w:jc w:val="left"/>
              <w:rPr/>
            </w:pPr>
            <w:r>
              <w:rPr/>
              <w:t> </w:t>
            </w:r>
            <w:bookmarkStart w:id="46" w:name="xdx_40B_eus-gaap--Assets_i01TI_mtCz0Ul_z"/>
            <w:bookmarkEnd w:id="46"/>
          </w:p>
        </w:tc>
      </w:tr>
      <w:tr>
        <w:trPr/>
        <w:tc>
          <w:tcPr>
            <w:tcW w:w="7212"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4" w:type="dxa"/>
            <w:tcBorders>
              <w:bottom w:val="double" w:sz="6" w:space="0" w:color="000000"/>
            </w:tcBorders>
            <w:shd w:fill="CCEEFF" w:val="clear"/>
            <w:tcMar>
              <w:bottom w:w="28" w:type="dxa"/>
            </w:tcMar>
            <w:vAlign w:val="center"/>
          </w:tcPr>
          <w:p>
            <w:pPr>
              <w:pStyle w:val="TableContents"/>
              <w:bidi w:val="0"/>
              <w:spacing w:before="0" w:after="283"/>
              <w:jc w:val="right"/>
              <w:rPr/>
            </w:pPr>
            <w:r>
              <w:rPr/>
              <w:t>26,181,319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23,821,437</w:t>
            </w:r>
          </w:p>
        </w:tc>
        <w:tc>
          <w:tcPr>
            <w:tcW w:w="76" w:type="dxa"/>
            <w:tcBorders/>
            <w:shd w:fill="CCEEFF"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bookmarkStart w:id="47" w:name="xdx_409_eus-gaap--LiabilitiesAndStockhol"/>
            <w:bookmarkEnd w:id="47"/>
          </w:p>
        </w:tc>
      </w:tr>
      <w:tr>
        <w:trPr/>
        <w:tc>
          <w:tcPr>
            <w:tcW w:w="7212" w:type="dxa"/>
            <w:tcBorders/>
            <w:shd w:fill="CCEEFF" w:val="clear"/>
            <w:vAlign w:val="center"/>
          </w:tcPr>
          <w:p>
            <w:pPr>
              <w:pStyle w:val="TableContents"/>
              <w:bidi w:val="0"/>
              <w:spacing w:before="0" w:after="283"/>
              <w:jc w:val="left"/>
              <w:rPr/>
            </w:pPr>
            <w:r>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bookmarkStart w:id="48" w:name="xdx_406_eus-gaap--LiabilitiesCurrentAbst"/>
            <w:bookmarkEnd w:id="48"/>
          </w:p>
        </w:tc>
      </w:tr>
      <w:tr>
        <w:trPr/>
        <w:tc>
          <w:tcPr>
            <w:tcW w:w="7212"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bookmarkStart w:id="49" w:name="xdx_40C_eus-gaap--AccountsPayableCurrent"/>
            <w:bookmarkEnd w:id="49"/>
          </w:p>
        </w:tc>
      </w:tr>
      <w:tr>
        <w:trPr/>
        <w:tc>
          <w:tcPr>
            <w:tcW w:w="7212"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p>
        </w:tc>
        <w:tc>
          <w:tcPr>
            <w:tcW w:w="1134" w:type="dxa"/>
            <w:tcBorders/>
            <w:shd w:fill="CCEEFF" w:val="clear"/>
            <w:vAlign w:val="center"/>
          </w:tcPr>
          <w:p>
            <w:pPr>
              <w:pStyle w:val="TableContents"/>
              <w:bidi w:val="0"/>
              <w:spacing w:before="0" w:after="283"/>
              <w:jc w:val="right"/>
              <w:rPr/>
            </w:pPr>
            <w:r>
              <w:rPr/>
              <w:t>8,454,369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6,200,526</w:t>
            </w:r>
          </w:p>
        </w:tc>
        <w:tc>
          <w:tcPr>
            <w:tcW w:w="76" w:type="dxa"/>
            <w:tcBorders/>
            <w:shd w:fill="CCEEFF" w:val="clear"/>
            <w:vAlign w:val="center"/>
          </w:tcPr>
          <w:p>
            <w:pPr>
              <w:pStyle w:val="TableContents"/>
              <w:bidi w:val="0"/>
              <w:spacing w:before="0" w:after="283"/>
              <w:jc w:val="left"/>
              <w:rPr/>
            </w:pPr>
            <w:r>
              <w:rPr/>
              <w:t> </w:t>
            </w:r>
            <w:bookmarkStart w:id="50" w:name="xdx_40A_ecustom--CreditCardsPayable_i02I"/>
            <w:bookmarkEnd w:id="50"/>
          </w:p>
        </w:tc>
      </w:tr>
      <w:tr>
        <w:trPr/>
        <w:tc>
          <w:tcPr>
            <w:tcW w:w="7212" w:type="dxa"/>
            <w:tcBorders/>
            <w:shd w:fill="FFFFFF" w:val="clear"/>
            <w:vAlign w:val="center"/>
          </w:tcPr>
          <w:p>
            <w:pPr>
              <w:pStyle w:val="TableContents"/>
              <w:bidi w:val="0"/>
              <w:spacing w:before="0" w:after="283"/>
              <w:jc w:val="left"/>
              <w:rPr/>
            </w:pPr>
            <w:r>
              <w:rPr/>
              <w:t>Credit cards payable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3,666,375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3,707,976</w:t>
            </w:r>
          </w:p>
        </w:tc>
        <w:tc>
          <w:tcPr>
            <w:tcW w:w="76" w:type="dxa"/>
            <w:tcBorders/>
            <w:shd w:fill="FFFFFF" w:val="clear"/>
            <w:vAlign w:val="center"/>
          </w:tcPr>
          <w:p>
            <w:pPr>
              <w:pStyle w:val="TableContents"/>
              <w:bidi w:val="0"/>
              <w:spacing w:before="0" w:after="283"/>
              <w:jc w:val="left"/>
              <w:rPr/>
            </w:pPr>
            <w:r>
              <w:rPr/>
              <w:t> </w:t>
            </w:r>
            <w:bookmarkStart w:id="51" w:name="xdx_40A_eus-gaap--LinesOfCreditCurrent_i"/>
            <w:bookmarkEnd w:id="51"/>
          </w:p>
        </w:tc>
      </w:tr>
      <w:tr>
        <w:trPr/>
        <w:tc>
          <w:tcPr>
            <w:tcW w:w="7212" w:type="dxa"/>
            <w:tcBorders/>
            <w:shd w:fill="CCEEFF" w:val="clear"/>
            <w:vAlign w:val="center"/>
          </w:tcPr>
          <w:p>
            <w:pPr>
              <w:pStyle w:val="TableContents"/>
              <w:bidi w:val="0"/>
              <w:spacing w:before="0" w:after="283"/>
              <w:jc w:val="left"/>
              <w:rPr/>
            </w:pPr>
            <w:r>
              <w:rPr/>
              <w:t>Short-term loan</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628,931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637,348</w:t>
            </w:r>
          </w:p>
        </w:tc>
        <w:tc>
          <w:tcPr>
            <w:tcW w:w="76" w:type="dxa"/>
            <w:tcBorders/>
            <w:shd w:fill="CCEEFF" w:val="clear"/>
            <w:vAlign w:val="center"/>
          </w:tcPr>
          <w:p>
            <w:pPr>
              <w:pStyle w:val="TableContents"/>
              <w:bidi w:val="0"/>
              <w:spacing w:before="0" w:after="283"/>
              <w:jc w:val="left"/>
              <w:rPr/>
            </w:pPr>
            <w:r>
              <w:rPr/>
              <w:t> </w:t>
            </w:r>
            <w:bookmarkStart w:id="52" w:name="xdx_408_eus-gaap--OperatingLeaseLiabilit"/>
            <w:bookmarkEnd w:id="52"/>
          </w:p>
        </w:tc>
      </w:tr>
      <w:tr>
        <w:trPr/>
        <w:tc>
          <w:tcPr>
            <w:tcW w:w="7212" w:type="dxa"/>
            <w:tcBorders/>
            <w:shd w:fill="FFFFFF" w:val="clear"/>
            <w:vAlign w:val="center"/>
          </w:tcPr>
          <w:p>
            <w:pPr>
              <w:pStyle w:val="TableContents"/>
              <w:bidi w:val="0"/>
              <w:spacing w:before="0" w:after="283"/>
              <w:jc w:val="left"/>
              <w:rPr/>
            </w:pPr>
            <w:r>
              <w:rPr/>
              <w:t>Operating lease liabilities-current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91,142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92,362</w:t>
            </w:r>
          </w:p>
        </w:tc>
        <w:tc>
          <w:tcPr>
            <w:tcW w:w="76" w:type="dxa"/>
            <w:tcBorders/>
            <w:shd w:fill="FFFFFF" w:val="clear"/>
            <w:vAlign w:val="center"/>
          </w:tcPr>
          <w:p>
            <w:pPr>
              <w:pStyle w:val="TableContents"/>
              <w:bidi w:val="0"/>
              <w:spacing w:before="0" w:after="283"/>
              <w:jc w:val="left"/>
              <w:rPr/>
            </w:pPr>
            <w:r>
              <w:rPr/>
              <w:t> </w:t>
            </w:r>
            <w:bookmarkStart w:id="53" w:name="xdx_400_eus-gaap--AccruedIncomeTaxesCurr"/>
            <w:bookmarkEnd w:id="53"/>
          </w:p>
        </w:tc>
      </w:tr>
      <w:tr>
        <w:trPr/>
        <w:tc>
          <w:tcPr>
            <w:tcW w:w="7212" w:type="dxa"/>
            <w:tcBorders/>
            <w:shd w:fill="CCEEFF" w:val="clear"/>
            <w:vAlign w:val="center"/>
          </w:tcPr>
          <w:p>
            <w:pPr>
              <w:pStyle w:val="TableContents"/>
              <w:bidi w:val="0"/>
              <w:spacing w:before="0" w:after="283"/>
              <w:jc w:val="left"/>
              <w:rPr/>
            </w:pPr>
            <w:r>
              <w:rPr/>
              <w:t>Income taxes payable</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172,762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51,147</w:t>
            </w:r>
          </w:p>
        </w:tc>
        <w:tc>
          <w:tcPr>
            <w:tcW w:w="76" w:type="dxa"/>
            <w:tcBorders/>
            <w:shd w:fill="CCEEFF" w:val="clear"/>
            <w:vAlign w:val="center"/>
          </w:tcPr>
          <w:p>
            <w:pPr>
              <w:pStyle w:val="TableContents"/>
              <w:bidi w:val="0"/>
              <w:spacing w:before="0" w:after="283"/>
              <w:jc w:val="left"/>
              <w:rPr/>
            </w:pPr>
            <w:r>
              <w:rPr/>
              <w:t> </w:t>
            </w:r>
            <w:bookmarkStart w:id="54" w:name="xdx_400_eus-gaap--AccruedLiabilitiesAndO"/>
            <w:bookmarkEnd w:id="54"/>
          </w:p>
        </w:tc>
      </w:tr>
      <w:tr>
        <w:trPr/>
        <w:tc>
          <w:tcPr>
            <w:tcW w:w="7212"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833,051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2,226,387</w:t>
            </w:r>
          </w:p>
        </w:tc>
        <w:tc>
          <w:tcPr>
            <w:tcW w:w="76" w:type="dxa"/>
            <w:tcBorders/>
            <w:shd w:fill="FFFFFF" w:val="clear"/>
            <w:vAlign w:val="center"/>
          </w:tcPr>
          <w:p>
            <w:pPr>
              <w:pStyle w:val="TableContents"/>
              <w:bidi w:val="0"/>
              <w:spacing w:before="0" w:after="283"/>
              <w:jc w:val="left"/>
              <w:rPr/>
            </w:pPr>
            <w:r>
              <w:rPr/>
              <w:t> </w:t>
            </w:r>
            <w:bookmarkStart w:id="55" w:name="xdx_409_eus-gaap--OtherLiabilitiesCurren"/>
            <w:bookmarkEnd w:id="55"/>
          </w:p>
        </w:tc>
      </w:tr>
      <w:tr>
        <w:trPr/>
        <w:tc>
          <w:tcPr>
            <w:tcW w:w="7212" w:type="dxa"/>
            <w:tcBorders/>
            <w:shd w:fill="CCEEFF" w:val="clear"/>
            <w:vAlign w:val="center"/>
          </w:tcPr>
          <w:p>
            <w:pPr>
              <w:pStyle w:val="TableContents"/>
              <w:bidi w:val="0"/>
              <w:spacing w:before="0" w:after="283"/>
              <w:jc w:val="left"/>
              <w:rPr/>
            </w:pPr>
            <w:r>
              <w:rPr/>
              <w:t>Due to related parties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CCEEFF" w:val="clear"/>
            <w:tcMar>
              <w:bottom w:w="28" w:type="dxa"/>
            </w:tcMar>
            <w:vAlign w:val="center"/>
          </w:tcPr>
          <w:p>
            <w:pPr>
              <w:pStyle w:val="TableContents"/>
              <w:bidi w:val="0"/>
              <w:spacing w:before="0" w:after="283"/>
              <w:jc w:val="right"/>
              <w:rPr/>
            </w:pPr>
            <w:r>
              <w:rPr/>
              <w:t>3,410,418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3,810,418</w:t>
            </w:r>
          </w:p>
        </w:tc>
        <w:tc>
          <w:tcPr>
            <w:tcW w:w="76" w:type="dxa"/>
            <w:tcBorders/>
            <w:shd w:fill="CCEEFF" w:val="clear"/>
            <w:vAlign w:val="center"/>
          </w:tcPr>
          <w:p>
            <w:pPr>
              <w:pStyle w:val="TableContents"/>
              <w:bidi w:val="0"/>
              <w:spacing w:before="0" w:after="283"/>
              <w:jc w:val="left"/>
              <w:rPr/>
            </w:pPr>
            <w:r>
              <w:rPr/>
              <w:t> </w:t>
            </w:r>
            <w:bookmarkStart w:id="56" w:name="xdx_405_eus-gaap--LiabilitiesCurrent_i02"/>
            <w:bookmarkEnd w:id="56"/>
          </w:p>
        </w:tc>
      </w:tr>
      <w:tr>
        <w:trPr/>
        <w:tc>
          <w:tcPr>
            <w:tcW w:w="7212"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17,257,048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16,726,164</w:t>
            </w:r>
          </w:p>
        </w:tc>
        <w:tc>
          <w:tcPr>
            <w:tcW w:w="76" w:type="dxa"/>
            <w:tcBorders/>
            <w:shd w:fill="FFFFFF" w:val="clear"/>
            <w:vAlign w:val="center"/>
          </w:tcPr>
          <w:p>
            <w:pPr>
              <w:pStyle w:val="TableContents"/>
              <w:bidi w:val="0"/>
              <w:spacing w:before="0" w:after="283"/>
              <w:jc w:val="left"/>
              <w:rPr/>
            </w:pPr>
            <w:r>
              <w:rPr/>
              <w:t> </w:t>
            </w:r>
          </w:p>
        </w:tc>
      </w:tr>
      <w:tr>
        <w:trPr/>
        <w:tc>
          <w:tcPr>
            <w:tcW w:w="721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bookmarkStart w:id="57" w:name="xdx_404_eus-gaap--AssetsNoncurrentAbstra"/>
            <w:bookmarkEnd w:id="57"/>
          </w:p>
        </w:tc>
      </w:tr>
      <w:tr>
        <w:trPr/>
        <w:tc>
          <w:tcPr>
            <w:tcW w:w="7212" w:type="dxa"/>
            <w:tcBorders/>
            <w:shd w:fill="FFFFFF" w:val="clear"/>
            <w:vAlign w:val="center"/>
          </w:tcPr>
          <w:p>
            <w:pPr>
              <w:pStyle w:val="TableContents"/>
              <w:bidi w:val="0"/>
              <w:spacing w:before="0" w:after="283"/>
              <w:jc w:val="left"/>
              <w:rPr/>
            </w:pPr>
            <w:r>
              <w:rPr/>
              <w:t>Non-current liabilities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bookmarkStart w:id="58" w:name="xdx_403_eus-gaap--OperatingLeaseLiabilit"/>
            <w:bookmarkEnd w:id="58"/>
          </w:p>
        </w:tc>
      </w:tr>
      <w:tr>
        <w:trPr/>
        <w:tc>
          <w:tcPr>
            <w:tcW w:w="7212" w:type="dxa"/>
            <w:tcBorders/>
            <w:shd w:fill="CCEEFF" w:val="clear"/>
            <w:vAlign w:val="center"/>
          </w:tcPr>
          <w:p>
            <w:pPr>
              <w:pStyle w:val="TableContents"/>
              <w:bidi w:val="0"/>
              <w:spacing w:before="0" w:after="283"/>
              <w:jc w:val="left"/>
              <w:rPr/>
            </w:pPr>
            <w:r>
              <w:rPr/>
              <w:t>Operating lease liabilities-non-current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38,357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83,271</w:t>
            </w:r>
          </w:p>
        </w:tc>
        <w:tc>
          <w:tcPr>
            <w:tcW w:w="76" w:type="dxa"/>
            <w:tcBorders/>
            <w:shd w:fill="CCEEFF" w:val="clear"/>
            <w:vAlign w:val="center"/>
          </w:tcPr>
          <w:p>
            <w:pPr>
              <w:pStyle w:val="TableContents"/>
              <w:bidi w:val="0"/>
              <w:spacing w:before="0" w:after="283"/>
              <w:jc w:val="left"/>
              <w:rPr/>
            </w:pPr>
            <w:r>
              <w:rPr/>
              <w:t> </w:t>
            </w:r>
            <w:bookmarkStart w:id="59" w:name="xdx_40F_eus-gaap--DeferredIncomeTaxesAnd"/>
            <w:bookmarkEnd w:id="59"/>
          </w:p>
        </w:tc>
      </w:tr>
      <w:tr>
        <w:trPr/>
        <w:tc>
          <w:tcPr>
            <w:tcW w:w="7212"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FFFFF" w:val="clear"/>
            <w:tcMar>
              <w:bottom w:w="28" w:type="dxa"/>
            </w:tcMar>
            <w:vAlign w:val="center"/>
          </w:tcPr>
          <w:p>
            <w:pPr>
              <w:pStyle w:val="TableContents"/>
              <w:bidi w:val="0"/>
              <w:spacing w:before="0" w:after="283"/>
              <w:jc w:val="right"/>
              <w:rPr/>
            </w:pPr>
            <w:r>
              <w:rPr/>
              <w:t>546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18,143</w:t>
            </w:r>
          </w:p>
        </w:tc>
        <w:tc>
          <w:tcPr>
            <w:tcW w:w="76" w:type="dxa"/>
            <w:tcBorders/>
            <w:shd w:fill="FFFFFF" w:val="clear"/>
            <w:vAlign w:val="center"/>
          </w:tcPr>
          <w:p>
            <w:pPr>
              <w:pStyle w:val="TableContents"/>
              <w:bidi w:val="0"/>
              <w:spacing w:before="0" w:after="283"/>
              <w:jc w:val="left"/>
              <w:rPr/>
            </w:pPr>
            <w:r>
              <w:rPr/>
              <w:t> </w:t>
            </w:r>
            <w:bookmarkStart w:id="60" w:name="xdx_401_eus-gaap--LiabilitiesNoncurrent_"/>
            <w:bookmarkEnd w:id="60"/>
          </w:p>
        </w:tc>
      </w:tr>
      <w:tr>
        <w:trPr/>
        <w:tc>
          <w:tcPr>
            <w:tcW w:w="7212" w:type="dxa"/>
            <w:tcBorders/>
            <w:shd w:fill="CCEEFF" w:val="clear"/>
            <w:vAlign w:val="center"/>
          </w:tcPr>
          <w:p>
            <w:pPr>
              <w:pStyle w:val="TableContents"/>
              <w:bidi w:val="0"/>
              <w:spacing w:before="0" w:after="283"/>
              <w:jc w:val="left"/>
              <w:rPr/>
            </w:pPr>
            <w:r>
              <w:rPr/>
              <w:t>Total non-current liabilities</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CCEEFF" w:val="clear"/>
            <w:tcMar>
              <w:bottom w:w="28" w:type="dxa"/>
            </w:tcMar>
            <w:vAlign w:val="center"/>
          </w:tcPr>
          <w:p>
            <w:pPr>
              <w:pStyle w:val="TableContents"/>
              <w:bidi w:val="0"/>
              <w:spacing w:before="0" w:after="283"/>
              <w:jc w:val="right"/>
              <w:rPr/>
            </w:pPr>
            <w:r>
              <w:rPr/>
              <w:t>38,903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101,414</w:t>
            </w:r>
          </w:p>
        </w:tc>
        <w:tc>
          <w:tcPr>
            <w:tcW w:w="76" w:type="dxa"/>
            <w:tcBorders/>
            <w:shd w:fill="CCEEFF" w:val="clear"/>
            <w:vAlign w:val="center"/>
          </w:tcPr>
          <w:p>
            <w:pPr>
              <w:pStyle w:val="TableContents"/>
              <w:bidi w:val="0"/>
              <w:spacing w:before="0" w:after="283"/>
              <w:jc w:val="left"/>
              <w:rPr/>
            </w:pPr>
            <w:r>
              <w:rPr/>
              <w:t> </w:t>
            </w:r>
            <w:bookmarkStart w:id="61" w:name="xdx_408_eus-gaap--Liabilities_i01TI_mtCz"/>
            <w:bookmarkEnd w:id="61"/>
          </w:p>
        </w:tc>
      </w:tr>
      <w:tr>
        <w:trPr/>
        <w:tc>
          <w:tcPr>
            <w:tcW w:w="7212"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17,295,951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16,827,578</w:t>
            </w:r>
          </w:p>
        </w:tc>
        <w:tc>
          <w:tcPr>
            <w:tcW w:w="76" w:type="dxa"/>
            <w:tcBorders/>
            <w:shd w:fill="FFFFFF" w:val="clear"/>
            <w:vAlign w:val="center"/>
          </w:tcPr>
          <w:p>
            <w:pPr>
              <w:pStyle w:val="TableContents"/>
              <w:bidi w:val="0"/>
              <w:spacing w:before="0" w:after="283"/>
              <w:jc w:val="left"/>
              <w:rPr/>
            </w:pPr>
            <w:r>
              <w:rPr/>
              <w:t> </w:t>
            </w:r>
            <w:bookmarkStart w:id="62" w:name="xdx_409_eus-gaap--CommitmentsAndContinge"/>
            <w:bookmarkEnd w:id="62"/>
          </w:p>
        </w:tc>
      </w:tr>
      <w:tr>
        <w:trPr/>
        <w:tc>
          <w:tcPr>
            <w:tcW w:w="7212" w:type="dxa"/>
            <w:tcBorders/>
            <w:shd w:fill="CCEEFF" w:val="clear"/>
            <w:vAlign w:val="center"/>
          </w:tcPr>
          <w:p>
            <w:pPr>
              <w:pStyle w:val="TableContents"/>
              <w:bidi w:val="0"/>
              <w:spacing w:before="0" w:after="283"/>
              <w:jc w:val="left"/>
              <w:rPr/>
            </w:pPr>
            <w:r>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bookmarkStart w:id="63" w:name="xdx_402_eus-gaap--StockholdersEquityAbst"/>
            <w:bookmarkEnd w:id="63"/>
          </w:p>
        </w:tc>
      </w:tr>
      <w:tr>
        <w:trPr/>
        <w:tc>
          <w:tcPr>
            <w:tcW w:w="7212"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bookmarkStart w:id="64" w:name="xdx_402_eus-gaap--PreferredStockValue_i0"/>
            <w:bookmarkEnd w:id="64"/>
          </w:p>
        </w:tc>
      </w:tr>
      <w:tr>
        <w:trPr/>
        <w:tc>
          <w:tcPr>
            <w:tcW w:w="7212" w:type="dxa"/>
            <w:tcBorders/>
            <w:shd w:fill="FFFFFF" w:val="clear"/>
            <w:vAlign w:val="center"/>
          </w:tcPr>
          <w:p>
            <w:pPr>
              <w:pStyle w:val="TableContents"/>
              <w:bidi w:val="0"/>
              <w:spacing w:before="0" w:after="283"/>
              <w:jc w:val="left"/>
              <w:rPr/>
            </w:pPr>
            <w:r>
              <w:rPr/>
              <w:t>Preferred stock: $</w:t>
            </w:r>
            <w:bookmarkStart w:id="65" w:name="xdx_902_eus-gaap--PreferredStockParOrSta"/>
            <w:bookmarkStart w:id="66" w:name="xdx_902_eus-gaap--PreferredStockParOrSta"/>
            <w:bookmarkEnd w:id="65"/>
            <w:bookmarkEnd w:id="66"/>
            <w:r>
              <w:rPr/>
              <w:t xml:space="preserve">0.0001 par value, </w:t>
            </w:r>
            <w:bookmarkStart w:id="67" w:name="xdx_90C_eus-gaap--PreferredStockSharesAu"/>
            <w:bookmarkStart w:id="68" w:name="xdx_904_eus-gaap--PreferredStockSharesAu"/>
            <w:bookmarkEnd w:id="67"/>
            <w:bookmarkEnd w:id="68"/>
            <w:r>
              <w:rPr/>
              <w:t xml:space="preserve">10,000,000 shares authorized, </w:t>
            </w:r>
            <w:bookmarkStart w:id="69" w:name="xdx_900_eus-gaap--PreferredStockSharesOu"/>
            <w:bookmarkStart w:id="70" w:name="xdx_900_eus-gaap--PreferredStockSharesIs"/>
            <w:bookmarkStart w:id="71" w:name="xdx_90A_eus-gaap--PreferredStockSharesOu"/>
            <w:bookmarkStart w:id="72" w:name="xdx_901_eus-gaap--PreferredStockSharesIs"/>
            <w:bookmarkEnd w:id="69"/>
            <w:bookmarkEnd w:id="70"/>
            <w:bookmarkEnd w:id="71"/>
            <w:bookmarkEnd w:id="72"/>
            <w:r>
              <w:rPr/>
              <w:t>none issued and outstanding as of June 30, 2026 and December 31, 2025</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76" w:type="dxa"/>
            <w:tcBorders/>
            <w:shd w:fill="FFFFFF" w:val="clear"/>
            <w:vAlign w:val="center"/>
          </w:tcPr>
          <w:p>
            <w:pPr>
              <w:pStyle w:val="TableContents"/>
              <w:bidi w:val="0"/>
              <w:spacing w:before="0" w:after="283"/>
              <w:jc w:val="left"/>
              <w:rPr/>
            </w:pPr>
            <w:r>
              <w:rPr/>
              <w:t> </w:t>
            </w:r>
            <w:bookmarkStart w:id="73" w:name="xdx_401_eus-gaap--CommonStockValue_i02I_"/>
            <w:bookmarkEnd w:id="73"/>
          </w:p>
        </w:tc>
      </w:tr>
      <w:tr>
        <w:trPr/>
        <w:tc>
          <w:tcPr>
            <w:tcW w:w="7212" w:type="dxa"/>
            <w:tcBorders/>
            <w:shd w:fill="CCEEFF" w:val="clear"/>
            <w:vAlign w:val="center"/>
          </w:tcPr>
          <w:p>
            <w:pPr>
              <w:pStyle w:val="TableContents"/>
              <w:bidi w:val="0"/>
              <w:spacing w:before="0" w:after="283"/>
              <w:jc w:val="left"/>
              <w:rPr/>
            </w:pPr>
            <w:r>
              <w:rPr/>
              <w:t>Common stock: $</w:t>
            </w:r>
            <w:bookmarkStart w:id="74" w:name="xdx_90E_eus-gaap--CommonStockParOrStated"/>
            <w:bookmarkStart w:id="75" w:name="xdx_900_eus-gaap--CommonStockParOrStated"/>
            <w:bookmarkEnd w:id="74"/>
            <w:bookmarkEnd w:id="75"/>
            <w:r>
              <w:rPr/>
              <w:t xml:space="preserve">0.0001 par value, </w:t>
            </w:r>
            <w:bookmarkStart w:id="76" w:name="xdx_90B_eus-gaap--CommonStockSharesAutho"/>
            <w:bookmarkStart w:id="77" w:name="xdx_903_eus-gaap--CommonStockSharesAutho"/>
            <w:bookmarkEnd w:id="76"/>
            <w:bookmarkEnd w:id="77"/>
            <w:r>
              <w:rPr/>
              <w:t xml:space="preserve">300,000,000 shares authorized, </w:t>
            </w:r>
            <w:bookmarkStart w:id="78" w:name="xdx_90B_eus-gaap--CommonStockSharesOutst"/>
            <w:bookmarkStart w:id="79" w:name="xdx_909_eus-gaap--CommonStockSharesIssue"/>
            <w:bookmarkEnd w:id="78"/>
            <w:bookmarkEnd w:id="79"/>
            <w:r>
              <w:rPr/>
              <w:t xml:space="preserve">35,191,890 and </w:t>
            </w:r>
            <w:bookmarkStart w:id="80" w:name="xdx_902_eus-gaap--CommonStockSharesOutst"/>
            <w:bookmarkStart w:id="81" w:name="xdx_904_eus-gaap--CommonStockSharesIssue"/>
            <w:bookmarkEnd w:id="80"/>
            <w:bookmarkEnd w:id="81"/>
            <w:r>
              <w:rPr/>
              <w:t>35,176,320 shares issued and outstanding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3,519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3,518</w:t>
            </w:r>
          </w:p>
        </w:tc>
        <w:tc>
          <w:tcPr>
            <w:tcW w:w="76" w:type="dxa"/>
            <w:tcBorders/>
            <w:shd w:fill="CCEEFF" w:val="clear"/>
            <w:vAlign w:val="center"/>
          </w:tcPr>
          <w:p>
            <w:pPr>
              <w:pStyle w:val="TableContents"/>
              <w:bidi w:val="0"/>
              <w:spacing w:before="0" w:after="283"/>
              <w:jc w:val="left"/>
              <w:rPr/>
            </w:pPr>
            <w:r>
              <w:rPr/>
              <w:t> </w:t>
            </w:r>
            <w:bookmarkStart w:id="82" w:name="xdx_406_eus-gaap--AdditionalPaidInCapita"/>
            <w:bookmarkEnd w:id="82"/>
          </w:p>
        </w:tc>
      </w:tr>
      <w:tr>
        <w:trPr/>
        <w:tc>
          <w:tcPr>
            <w:tcW w:w="7212"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5,892,681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5,862,683</w:t>
            </w:r>
          </w:p>
        </w:tc>
        <w:tc>
          <w:tcPr>
            <w:tcW w:w="76" w:type="dxa"/>
            <w:tcBorders/>
            <w:shd w:fill="FFFFFF" w:val="clear"/>
            <w:vAlign w:val="center"/>
          </w:tcPr>
          <w:p>
            <w:pPr>
              <w:pStyle w:val="TableContents"/>
              <w:bidi w:val="0"/>
              <w:spacing w:before="0" w:after="283"/>
              <w:jc w:val="left"/>
              <w:rPr/>
            </w:pPr>
            <w:r>
              <w:rPr/>
              <w:t> </w:t>
            </w:r>
            <w:bookmarkStart w:id="83" w:name="xdx_403_eus-gaap--RetainedEarningsAccumu"/>
            <w:bookmarkEnd w:id="83"/>
          </w:p>
        </w:tc>
      </w:tr>
      <w:tr>
        <w:trPr/>
        <w:tc>
          <w:tcPr>
            <w:tcW w:w="7212" w:type="dxa"/>
            <w:tcBorders/>
            <w:shd w:fill="CCEEFF" w:val="clear"/>
            <w:vAlign w:val="center"/>
          </w:tcPr>
          <w:p>
            <w:pPr>
              <w:pStyle w:val="TableContents"/>
              <w:bidi w:val="0"/>
              <w:spacing w:before="0" w:after="283"/>
              <w:jc w:val="left"/>
              <w:rPr/>
            </w:pPr>
            <w:r>
              <w:rPr/>
              <w:t>Retained earnings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134" w:type="dxa"/>
            <w:tcBorders/>
            <w:shd w:fill="CCEEFF" w:val="clear"/>
            <w:vAlign w:val="center"/>
          </w:tcPr>
          <w:p>
            <w:pPr>
              <w:pStyle w:val="TableContents"/>
              <w:bidi w:val="0"/>
              <w:spacing w:before="0" w:after="283"/>
              <w:jc w:val="right"/>
              <w:rPr/>
            </w:pPr>
            <w:r>
              <w:rPr/>
              <w:t>2,984,841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1,109,674</w:t>
            </w:r>
          </w:p>
        </w:tc>
        <w:tc>
          <w:tcPr>
            <w:tcW w:w="76" w:type="dxa"/>
            <w:tcBorders/>
            <w:shd w:fill="CCEEFF" w:val="clear"/>
            <w:vAlign w:val="center"/>
          </w:tcPr>
          <w:p>
            <w:pPr>
              <w:pStyle w:val="TableContents"/>
              <w:bidi w:val="0"/>
              <w:spacing w:before="0" w:after="283"/>
              <w:jc w:val="left"/>
              <w:rPr/>
            </w:pPr>
            <w:r>
              <w:rPr/>
              <w:t> </w:t>
            </w:r>
            <w:bookmarkStart w:id="84" w:name="xdx_404_eus-gaap--AccumulatedOtherCompre"/>
            <w:bookmarkEnd w:id="84"/>
          </w:p>
        </w:tc>
      </w:tr>
      <w:tr>
        <w:trPr/>
        <w:tc>
          <w:tcPr>
            <w:tcW w:w="7212" w:type="dxa"/>
            <w:tcBorders/>
            <w:shd w:fill="FFFFFF" w:val="clear"/>
            <w:vAlign w:val="center"/>
          </w:tcPr>
          <w:p>
            <w:pPr>
              <w:pStyle w:val="TableContents"/>
              <w:bidi w:val="0"/>
              <w:spacing w:before="0" w:after="283"/>
              <w:jc w:val="left"/>
              <w:rPr/>
            </w:pPr>
            <w:r>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FFFFFF" w:val="clear"/>
            <w:tcMar>
              <w:bottom w:w="28" w:type="dxa"/>
            </w:tcMar>
            <w:vAlign w:val="center"/>
          </w:tcPr>
          <w:p>
            <w:pPr>
              <w:pStyle w:val="TableContents"/>
              <w:bidi w:val="0"/>
              <w:spacing w:before="0" w:after="283"/>
              <w:jc w:val="right"/>
              <w:rPr/>
            </w:pPr>
            <w:r>
              <w:rPr/>
              <w:t>4,327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17,984</w:t>
            </w:r>
          </w:p>
        </w:tc>
        <w:tc>
          <w:tcPr>
            <w:tcW w:w="76" w:type="dxa"/>
            <w:tcBorders/>
            <w:shd w:fill="FFFFFF" w:val="clear"/>
            <w:vAlign w:val="center"/>
          </w:tcPr>
          <w:p>
            <w:pPr>
              <w:pStyle w:val="TableContents"/>
              <w:bidi w:val="0"/>
              <w:spacing w:before="0" w:after="283"/>
              <w:jc w:val="left"/>
              <w:rPr/>
            </w:pPr>
            <w:r>
              <w:rPr/>
              <w:t> </w:t>
            </w:r>
            <w:bookmarkStart w:id="85" w:name="xdx_406_eus-gaap--StockholdersEquity_i02"/>
            <w:bookmarkEnd w:id="85"/>
          </w:p>
        </w:tc>
      </w:tr>
      <w:tr>
        <w:trPr/>
        <w:tc>
          <w:tcPr>
            <w:tcW w:w="7212"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4" w:type="dxa"/>
            <w:tcBorders>
              <w:bottom w:val="single" w:sz="8" w:space="0" w:color="000000"/>
            </w:tcBorders>
            <w:shd w:fill="CCEEFF" w:val="clear"/>
            <w:tcMar>
              <w:bottom w:w="28" w:type="dxa"/>
            </w:tcMar>
            <w:vAlign w:val="center"/>
          </w:tcPr>
          <w:p>
            <w:pPr>
              <w:pStyle w:val="TableContents"/>
              <w:bidi w:val="0"/>
              <w:spacing w:before="0" w:after="283"/>
              <w:jc w:val="right"/>
              <w:rPr/>
            </w:pPr>
            <w:r>
              <w:rPr/>
              <w:t>8,885,368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6,993,859</w:t>
            </w:r>
          </w:p>
        </w:tc>
        <w:tc>
          <w:tcPr>
            <w:tcW w:w="76" w:type="dxa"/>
            <w:tcBorders/>
            <w:shd w:fill="CCEEFF" w:val="clear"/>
            <w:vAlign w:val="center"/>
          </w:tcPr>
          <w:p>
            <w:pPr>
              <w:pStyle w:val="TableContents"/>
              <w:bidi w:val="0"/>
              <w:spacing w:before="0" w:after="283"/>
              <w:jc w:val="left"/>
              <w:rPr/>
            </w:pPr>
            <w:r>
              <w:rPr/>
              <w:t> </w:t>
            </w:r>
          </w:p>
        </w:tc>
      </w:tr>
      <w:tr>
        <w:trPr/>
        <w:tc>
          <w:tcPr>
            <w:tcW w:w="721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bookmarkStart w:id="86" w:name="xdx_40F_eus-gaap--LiabilitiesAndStockhol"/>
            <w:bookmarkEnd w:id="86"/>
          </w:p>
        </w:tc>
      </w:tr>
      <w:tr>
        <w:trPr/>
        <w:tc>
          <w:tcPr>
            <w:tcW w:w="7212" w:type="dxa"/>
            <w:tcBorders/>
            <w:shd w:fill="CCEEFF" w:val="clear"/>
            <w:vAlign w:val="center"/>
          </w:tcPr>
          <w:p>
            <w:pPr>
              <w:pStyle w:val="TableContents"/>
              <w:bidi w:val="0"/>
              <w:spacing w:before="0" w:after="283"/>
              <w:jc w:val="left"/>
              <w:rPr/>
            </w:pPr>
            <w:r>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4" w:type="dxa"/>
            <w:tcBorders>
              <w:bottom w:val="double" w:sz="6" w:space="0" w:color="000000"/>
            </w:tcBorders>
            <w:shd w:fill="CCEEFF" w:val="clear"/>
            <w:tcMar>
              <w:bottom w:w="28" w:type="dxa"/>
            </w:tcMar>
            <w:vAlign w:val="center"/>
          </w:tcPr>
          <w:p>
            <w:pPr>
              <w:pStyle w:val="TableContents"/>
              <w:bidi w:val="0"/>
              <w:spacing w:before="0" w:after="283"/>
              <w:jc w:val="right"/>
              <w:rPr/>
            </w:pPr>
            <w:r>
              <w:rPr/>
              <w:t>26,181,319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23,821,437</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footnotes are an integral part of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 AND COMPREHENSIVE INCOME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except for share and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7" w:name="xdx_301_113_zXTwP3xeAeU9"/>
      <w:bookmarkStart w:id="88" w:name="xdx_301_113_zXTwP3xeAeU9"/>
      <w:bookmarkEnd w:id="88"/>
    </w:p>
    <w:tbl>
      <w:tblPr>
        <w:tblW w:w="10205" w:type="dxa"/>
        <w:jc w:val="left"/>
        <w:tblInd w:w="0" w:type="dxa"/>
        <w:tblLayout w:type="fixed"/>
        <w:tblCellMar>
          <w:top w:w="0" w:type="dxa"/>
          <w:left w:w="0" w:type="dxa"/>
          <w:bottom w:w="0" w:type="dxa"/>
          <w:right w:w="0" w:type="dxa"/>
        </w:tblCellMar>
      </w:tblPr>
      <w:tblGrid>
        <w:gridCol w:w="4243"/>
        <w:gridCol w:w="60"/>
        <w:gridCol w:w="143"/>
        <w:gridCol w:w="1203"/>
        <w:gridCol w:w="97"/>
        <w:gridCol w:w="61"/>
        <w:gridCol w:w="143"/>
        <w:gridCol w:w="1203"/>
        <w:gridCol w:w="95"/>
        <w:gridCol w:w="60"/>
        <w:gridCol w:w="140"/>
        <w:gridCol w:w="1175"/>
        <w:gridCol w:w="95"/>
        <w:gridCol w:w="60"/>
        <w:gridCol w:w="140"/>
        <w:gridCol w:w="1175"/>
        <w:gridCol w:w="112"/>
      </w:tblGrid>
      <w:tr>
        <w:trPr/>
        <w:tc>
          <w:tcPr>
            <w:tcW w:w="4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9" w:name="xdx_49A_20260401__20260630_zIQEfySo35v1"/>
            <w:bookmarkEnd w:id="89"/>
          </w:p>
        </w:tc>
        <w:tc>
          <w:tcPr>
            <w:tcW w:w="1346"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bookmarkStart w:id="90" w:name="xdx_49F_20250401__20250630_zC31B9wJOesh"/>
            <w:bookmarkEnd w:id="90"/>
          </w:p>
        </w:tc>
        <w:tc>
          <w:tcPr>
            <w:tcW w:w="1346"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1" w:name="xdx_49B_20260101__20260630_zWKXr7OpvTw2"/>
            <w:bookmarkEnd w:id="91"/>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2" w:name="xdx_490_20250101__20250630_zlF7paezYqmd"/>
            <w:bookmarkEnd w:id="92"/>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2" w:type="dxa"/>
            <w:tcBorders/>
            <w:vAlign w:val="center"/>
          </w:tcPr>
          <w:p>
            <w:pPr>
              <w:pStyle w:val="TableContents"/>
              <w:bidi w:val="0"/>
              <w:spacing w:before="0" w:after="283"/>
              <w:jc w:val="left"/>
              <w:rPr/>
            </w:pPr>
            <w:r>
              <w:rPr/>
              <w:t> </w:t>
            </w:r>
          </w:p>
        </w:tc>
      </w:tr>
      <w:tr>
        <w:trPr/>
        <w:tc>
          <w:tcPr>
            <w:tcW w:w="4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0" w:type="dxa"/>
            <w:gridSpan w:val="6"/>
            <w:tcBorders>
              <w:bottom w:val="single" w:sz="8" w:space="0" w:color="000000"/>
            </w:tcBorders>
            <w:tcMar>
              <w:bottom w:w="28" w:type="dxa"/>
            </w:tcMar>
            <w:vAlign w:val="center"/>
          </w:tcPr>
          <w:p>
            <w:pPr>
              <w:pStyle w:val="TableContents"/>
              <w:bidi w:val="0"/>
              <w:spacing w:before="0" w:after="283"/>
              <w:jc w:val="center"/>
              <w:rPr/>
            </w:pPr>
            <w:r>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pPr>
            <w:r>
              <w:rPr/>
              <w:t>Six Months Ended June 30,</w:t>
            </w:r>
          </w:p>
        </w:tc>
        <w:tc>
          <w:tcPr>
            <w:tcW w:w="112" w:type="dxa"/>
            <w:tcBorders/>
            <w:vAlign w:val="center"/>
          </w:tcPr>
          <w:p>
            <w:pPr>
              <w:pStyle w:val="TableContents"/>
              <w:bidi w:val="0"/>
              <w:spacing w:before="0" w:after="283"/>
              <w:jc w:val="left"/>
              <w:rPr/>
            </w:pPr>
            <w:r>
              <w:rPr/>
              <w:t> </w:t>
            </w:r>
          </w:p>
        </w:tc>
      </w:tr>
      <w:tr>
        <w:trPr/>
        <w:tc>
          <w:tcPr>
            <w:tcW w:w="4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6"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346"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2" w:type="dxa"/>
            <w:tcBorders/>
            <w:vAlign w:val="center"/>
          </w:tcPr>
          <w:p>
            <w:pPr>
              <w:pStyle w:val="TableContents"/>
              <w:bidi w:val="0"/>
              <w:spacing w:before="0" w:after="283"/>
              <w:jc w:val="left"/>
              <w:rPr/>
            </w:pPr>
            <w:r>
              <w:rPr/>
              <w:t> </w:t>
            </w:r>
          </w:p>
        </w:tc>
      </w:tr>
      <w:tr>
        <w:trPr/>
        <w:tc>
          <w:tcPr>
            <w:tcW w:w="42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6"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34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bookmarkStart w:id="93" w:name="xdx_400_eus-gaap--RevenueFromContractWit"/>
            <w:bookmarkEnd w:id="93"/>
          </w:p>
        </w:tc>
      </w:tr>
      <w:tr>
        <w:trPr/>
        <w:tc>
          <w:tcPr>
            <w:tcW w:w="4243" w:type="dxa"/>
            <w:tcBorders/>
            <w:shd w:fill="CCEEFF" w:val="clear"/>
            <w:vAlign w:val="center"/>
          </w:tcPr>
          <w:p>
            <w:pPr>
              <w:pStyle w:val="TableContents"/>
              <w:bidi w:val="0"/>
              <w:spacing w:before="0" w:after="283"/>
              <w:jc w:val="left"/>
              <w:rPr/>
            </w:pPr>
            <w:r>
              <w:rPr/>
              <w:t xml:space="preserve">Revenues, net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33,944,191</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203" w:type="dxa"/>
            <w:tcBorders/>
            <w:shd w:fill="CCEEFF" w:val="clear"/>
            <w:vAlign w:val="center"/>
          </w:tcPr>
          <w:p>
            <w:pPr>
              <w:pStyle w:val="TableContents"/>
              <w:bidi w:val="0"/>
              <w:spacing w:before="0" w:after="283"/>
              <w:jc w:val="right"/>
              <w:rPr/>
            </w:pPr>
            <w:r>
              <w:rPr/>
              <w:t>27,103,106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63,874,533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52,940,196</w:t>
            </w:r>
          </w:p>
        </w:tc>
        <w:tc>
          <w:tcPr>
            <w:tcW w:w="112" w:type="dxa"/>
            <w:tcBorders/>
            <w:shd w:fill="CCEEFF" w:val="clear"/>
            <w:vAlign w:val="center"/>
          </w:tcPr>
          <w:p>
            <w:pPr>
              <w:pStyle w:val="TableContents"/>
              <w:bidi w:val="0"/>
              <w:spacing w:before="0" w:after="283"/>
              <w:jc w:val="left"/>
              <w:rPr/>
            </w:pPr>
            <w:r>
              <w:rPr/>
              <w:t> </w:t>
            </w:r>
            <w:bookmarkStart w:id="94" w:name="xdx_408_eus-gaap--CostOfGoodsAndServices"/>
            <w:bookmarkEnd w:id="94"/>
          </w:p>
        </w:tc>
      </w:tr>
      <w:tr>
        <w:trPr/>
        <w:tc>
          <w:tcPr>
            <w:tcW w:w="4243"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(15,976,053</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(11,605,754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(29,888,620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(23,297,546</w:t>
            </w:r>
          </w:p>
        </w:tc>
        <w:tc>
          <w:tcPr>
            <w:tcW w:w="112" w:type="dxa"/>
            <w:tcBorders/>
            <w:shd w:fill="FFFFFF" w:val="clear"/>
            <w:vAlign w:val="center"/>
          </w:tcPr>
          <w:p>
            <w:pPr>
              <w:pStyle w:val="TableContents"/>
              <w:bidi w:val="0"/>
              <w:spacing w:before="0" w:after="283"/>
              <w:jc w:val="left"/>
              <w:rPr/>
            </w:pPr>
            <w:r>
              <w:rPr/>
              <w:t>)</w:t>
            </w:r>
            <w:bookmarkStart w:id="95" w:name="xdx_407_eus-gaap--GrossProfit_iT_mtCzWW3"/>
            <w:bookmarkEnd w:id="95"/>
          </w:p>
        </w:tc>
      </w:tr>
      <w:tr>
        <w:trPr/>
        <w:tc>
          <w:tcPr>
            <w:tcW w:w="4243"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17,968,138</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15,497,352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33,985,913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29,642,650</w:t>
            </w:r>
          </w:p>
        </w:tc>
        <w:tc>
          <w:tcPr>
            <w:tcW w:w="112" w:type="dxa"/>
            <w:tcBorders/>
            <w:shd w:fill="CCEEFF" w:val="clear"/>
            <w:vAlign w:val="center"/>
          </w:tcPr>
          <w:p>
            <w:pPr>
              <w:pStyle w:val="TableContents"/>
              <w:bidi w:val="0"/>
              <w:spacing w:before="0" w:after="283"/>
              <w:jc w:val="left"/>
              <w:rPr/>
            </w:pPr>
            <w:r>
              <w:rPr/>
              <w:t> </w:t>
            </w:r>
          </w:p>
        </w:tc>
      </w:tr>
      <w:tr>
        <w:trPr/>
        <w:tc>
          <w:tcPr>
            <w:tcW w:w="4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96" w:name="xdx_40E_eus-gaap--OperatingExpensesAbstr"/>
            <w:bookmarkEnd w:id="96"/>
          </w:p>
        </w:tc>
      </w:tr>
      <w:tr>
        <w:trPr/>
        <w:tc>
          <w:tcPr>
            <w:tcW w:w="4243"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97" w:name="xdx_408_eus-gaap--SellingAndMarketingExp"/>
            <w:bookmarkEnd w:id="97"/>
          </w:p>
        </w:tc>
      </w:tr>
      <w:tr>
        <w:trPr/>
        <w:tc>
          <w:tcPr>
            <w:tcW w:w="4243"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14,518,903</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11,715,571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27,117,544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22,962,568</w:t>
            </w:r>
          </w:p>
        </w:tc>
        <w:tc>
          <w:tcPr>
            <w:tcW w:w="112" w:type="dxa"/>
            <w:tcBorders/>
            <w:shd w:fill="FFFFFF" w:val="clear"/>
            <w:vAlign w:val="center"/>
          </w:tcPr>
          <w:p>
            <w:pPr>
              <w:pStyle w:val="TableContents"/>
              <w:bidi w:val="0"/>
              <w:spacing w:before="0" w:after="283"/>
              <w:jc w:val="left"/>
              <w:rPr/>
            </w:pPr>
            <w:r>
              <w:rPr/>
              <w:t> </w:t>
            </w:r>
            <w:bookmarkStart w:id="98" w:name="xdx_400_eus-gaap--GeneralAndAdministrati"/>
            <w:bookmarkEnd w:id="98"/>
          </w:p>
        </w:tc>
      </w:tr>
      <w:tr>
        <w:trPr/>
        <w:tc>
          <w:tcPr>
            <w:tcW w:w="4243"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pPr>
            <w:r>
              <w:rPr/>
              <w:t>2,164,849</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pPr>
            <w:r>
              <w:rPr/>
              <w:t>2,160,930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4,441,855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4,138,366</w:t>
            </w:r>
          </w:p>
        </w:tc>
        <w:tc>
          <w:tcPr>
            <w:tcW w:w="112" w:type="dxa"/>
            <w:tcBorders/>
            <w:shd w:fill="CCEEFF" w:val="clear"/>
            <w:vAlign w:val="center"/>
          </w:tcPr>
          <w:p>
            <w:pPr>
              <w:pStyle w:val="TableContents"/>
              <w:bidi w:val="0"/>
              <w:spacing w:before="0" w:after="283"/>
              <w:jc w:val="left"/>
              <w:rPr/>
            </w:pPr>
            <w:r>
              <w:rPr/>
              <w:t> </w:t>
            </w:r>
            <w:bookmarkStart w:id="99" w:name="xdx_40C_eus-gaap--OperatingExpenses_i01T"/>
            <w:bookmarkEnd w:id="99"/>
          </w:p>
        </w:tc>
      </w:tr>
      <w:tr>
        <w:trPr/>
        <w:tc>
          <w:tcPr>
            <w:tcW w:w="4243"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16,683,752</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13,876,501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31,559,399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27,100,934</w:t>
            </w:r>
          </w:p>
        </w:tc>
        <w:tc>
          <w:tcPr>
            <w:tcW w:w="112" w:type="dxa"/>
            <w:tcBorders/>
            <w:shd w:fill="FFFFFF" w:val="clear"/>
            <w:vAlign w:val="center"/>
          </w:tcPr>
          <w:p>
            <w:pPr>
              <w:pStyle w:val="TableContents"/>
              <w:bidi w:val="0"/>
              <w:spacing w:before="0" w:after="283"/>
              <w:jc w:val="left"/>
              <w:rPr/>
            </w:pPr>
            <w:r>
              <w:rPr/>
              <w:t> </w:t>
            </w:r>
          </w:p>
        </w:tc>
      </w:tr>
      <w:tr>
        <w:trPr/>
        <w:tc>
          <w:tcPr>
            <w:tcW w:w="4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00" w:name="xdx_405_eus-gaap--OperatingIncomeLoss_iT"/>
            <w:bookmarkEnd w:id="100"/>
          </w:p>
        </w:tc>
      </w:tr>
      <w:tr>
        <w:trPr/>
        <w:tc>
          <w:tcPr>
            <w:tcW w:w="4243" w:type="dxa"/>
            <w:tcBorders/>
            <w:shd w:fill="FFFFFF" w:val="clear"/>
            <w:vAlign w:val="center"/>
          </w:tcPr>
          <w:p>
            <w:pPr>
              <w:pStyle w:val="TableContents"/>
              <w:bidi w:val="0"/>
              <w:spacing w:before="0" w:after="283"/>
              <w:jc w:val="left"/>
              <w:rPr/>
            </w:pPr>
            <w:r>
              <w:rPr/>
              <w:t>Income from operations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1,284,386</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1,620,851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2,426,514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2,541,716</w:t>
            </w:r>
          </w:p>
        </w:tc>
        <w:tc>
          <w:tcPr>
            <w:tcW w:w="112" w:type="dxa"/>
            <w:tcBorders/>
            <w:shd w:fill="FFFFFF" w:val="clear"/>
            <w:vAlign w:val="center"/>
          </w:tcPr>
          <w:p>
            <w:pPr>
              <w:pStyle w:val="TableContents"/>
              <w:bidi w:val="0"/>
              <w:spacing w:before="0" w:after="283"/>
              <w:jc w:val="left"/>
              <w:rPr/>
            </w:pPr>
            <w:r>
              <w:rPr/>
              <w:t> </w:t>
            </w:r>
          </w:p>
        </w:tc>
      </w:tr>
      <w:tr>
        <w:trPr/>
        <w:tc>
          <w:tcPr>
            <w:tcW w:w="4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01" w:name="xdx_405_eus-gaap--NonoperatingIncomeExpe"/>
            <w:bookmarkEnd w:id="101"/>
          </w:p>
        </w:tc>
      </w:tr>
      <w:tr>
        <w:trPr/>
        <w:tc>
          <w:tcPr>
            <w:tcW w:w="4243" w:type="dxa"/>
            <w:tcBorders/>
            <w:shd w:fill="FFFFFF" w:val="clear"/>
            <w:vAlign w:val="center"/>
          </w:tcPr>
          <w:p>
            <w:pPr>
              <w:pStyle w:val="TableContents"/>
              <w:bidi w:val="0"/>
              <w:spacing w:before="0" w:after="283"/>
              <w:jc w:val="left"/>
              <w:rPr/>
            </w:pPr>
            <w:r>
              <w:rPr/>
              <w:t>Other (expense) income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2" w:name="xdx_405_eus-gaap--OtherNonoperatingIncom"/>
            <w:bookmarkEnd w:id="102"/>
          </w:p>
        </w:tc>
      </w:tr>
      <w:tr>
        <w:trPr/>
        <w:tc>
          <w:tcPr>
            <w:tcW w:w="4243" w:type="dxa"/>
            <w:tcBorders/>
            <w:shd w:fill="CCEEFF" w:val="clear"/>
            <w:vAlign w:val="center"/>
          </w:tcPr>
          <w:p>
            <w:pPr>
              <w:pStyle w:val="TableContents"/>
              <w:bidi w:val="0"/>
              <w:spacing w:before="0" w:after="283"/>
              <w:jc w:val="left"/>
              <w:rPr/>
            </w:pPr>
            <w:r>
              <w:rPr/>
              <w:t>Other expense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(448</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(2,300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(1,999</w:t>
            </w:r>
          </w:p>
        </w:tc>
        <w:tc>
          <w:tcPr>
            <w:tcW w:w="112" w:type="dxa"/>
            <w:tcBorders/>
            <w:shd w:fill="CCEEFF" w:val="clear"/>
            <w:vAlign w:val="center"/>
          </w:tcPr>
          <w:p>
            <w:pPr>
              <w:pStyle w:val="TableContents"/>
              <w:bidi w:val="0"/>
              <w:spacing w:before="0" w:after="283"/>
              <w:jc w:val="left"/>
              <w:rPr/>
            </w:pPr>
            <w:r>
              <w:rPr/>
              <w:t>)</w:t>
            </w:r>
            <w:bookmarkStart w:id="103" w:name="xdx_405_eus-gaap--InterestExpenseNonoper"/>
            <w:bookmarkEnd w:id="103"/>
          </w:p>
        </w:tc>
      </w:tr>
      <w:tr>
        <w:trPr/>
        <w:tc>
          <w:tcPr>
            <w:tcW w:w="4243"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(46,335</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(43,782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(80,273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(90,837</w:t>
            </w:r>
          </w:p>
        </w:tc>
        <w:tc>
          <w:tcPr>
            <w:tcW w:w="112" w:type="dxa"/>
            <w:tcBorders/>
            <w:shd w:fill="FFFFFF" w:val="clear"/>
            <w:vAlign w:val="center"/>
          </w:tcPr>
          <w:p>
            <w:pPr>
              <w:pStyle w:val="TableContents"/>
              <w:bidi w:val="0"/>
              <w:spacing w:before="0" w:after="283"/>
              <w:jc w:val="left"/>
              <w:rPr/>
            </w:pPr>
            <w:r>
              <w:rPr/>
              <w:t>)</w:t>
            </w:r>
            <w:bookmarkStart w:id="104" w:name="xdx_40C_eus-gaap--OtherIncome_i01_maNIEz"/>
            <w:bookmarkEnd w:id="104"/>
          </w:p>
        </w:tc>
      </w:tr>
      <w:tr>
        <w:trPr/>
        <w:tc>
          <w:tcPr>
            <w:tcW w:w="4243"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pPr>
            <w:r>
              <w:rPr/>
              <w:t>20,073</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pPr>
            <w:r>
              <w:rPr/>
              <w:t>7,912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46,831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69,737</w:t>
            </w:r>
          </w:p>
        </w:tc>
        <w:tc>
          <w:tcPr>
            <w:tcW w:w="112" w:type="dxa"/>
            <w:tcBorders/>
            <w:shd w:fill="CCEEFF" w:val="clear"/>
            <w:vAlign w:val="center"/>
          </w:tcPr>
          <w:p>
            <w:pPr>
              <w:pStyle w:val="TableContents"/>
              <w:bidi w:val="0"/>
              <w:spacing w:before="0" w:after="283"/>
              <w:jc w:val="left"/>
              <w:rPr/>
            </w:pPr>
            <w:r>
              <w:rPr/>
              <w:t> </w:t>
            </w:r>
            <w:bookmarkStart w:id="105" w:name="xdx_407_eus-gaap--NonoperatingIncomeExpe"/>
            <w:bookmarkEnd w:id="105"/>
          </w:p>
        </w:tc>
      </w:tr>
      <w:tr>
        <w:trPr/>
        <w:tc>
          <w:tcPr>
            <w:tcW w:w="4243" w:type="dxa"/>
            <w:tcBorders/>
            <w:shd w:fill="FFFFFF" w:val="clear"/>
            <w:vAlign w:val="center"/>
          </w:tcPr>
          <w:p>
            <w:pPr>
              <w:pStyle w:val="TableContents"/>
              <w:bidi w:val="0"/>
              <w:spacing w:before="0" w:after="283"/>
              <w:jc w:val="left"/>
              <w:rPr/>
            </w:pPr>
            <w:r>
              <w:rPr/>
              <w:t>Total other (expense) income, net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(26,710</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(38,170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(35,698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(23,099</w:t>
            </w:r>
          </w:p>
        </w:tc>
        <w:tc>
          <w:tcPr>
            <w:tcW w:w="112" w:type="dxa"/>
            <w:tcBorders/>
            <w:shd w:fill="FFFFFF" w:val="clear"/>
            <w:vAlign w:val="center"/>
          </w:tcPr>
          <w:p>
            <w:pPr>
              <w:pStyle w:val="TableContents"/>
              <w:bidi w:val="0"/>
              <w:spacing w:before="0" w:after="283"/>
              <w:jc w:val="left"/>
              <w:rPr/>
            </w:pPr>
            <w:r>
              <w:rPr/>
              <w:t>)</w:t>
            </w:r>
          </w:p>
        </w:tc>
      </w:tr>
      <w:tr>
        <w:trPr/>
        <w:tc>
          <w:tcPr>
            <w:tcW w:w="4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06" w:name="xdx_40E_eus-gaap--IncomeLossFromContinui"/>
            <w:bookmarkEnd w:id="106"/>
          </w:p>
        </w:tc>
      </w:tr>
      <w:tr>
        <w:trPr/>
        <w:tc>
          <w:tcPr>
            <w:tcW w:w="4243" w:type="dxa"/>
            <w:tcBorders/>
            <w:shd w:fill="FFFFFF" w:val="clear"/>
            <w:vAlign w:val="center"/>
          </w:tcPr>
          <w:p>
            <w:pPr>
              <w:pStyle w:val="TableContents"/>
              <w:bidi w:val="0"/>
              <w:spacing w:before="0" w:after="283"/>
              <w:jc w:val="left"/>
              <w:rPr/>
            </w:pPr>
            <w:r>
              <w:rPr/>
              <w:t>Income before income taxes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1,257,676</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1,582,681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2,390,816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2,518,617</w:t>
            </w:r>
          </w:p>
        </w:tc>
        <w:tc>
          <w:tcPr>
            <w:tcW w:w="112" w:type="dxa"/>
            <w:tcBorders/>
            <w:shd w:fill="FFFFFF" w:val="clear"/>
            <w:vAlign w:val="center"/>
          </w:tcPr>
          <w:p>
            <w:pPr>
              <w:pStyle w:val="TableContents"/>
              <w:bidi w:val="0"/>
              <w:spacing w:before="0" w:after="283"/>
              <w:jc w:val="left"/>
              <w:rPr/>
            </w:pPr>
            <w:r>
              <w:rPr/>
              <w:t> </w:t>
            </w:r>
            <w:bookmarkStart w:id="107" w:name="xdx_40C_eus-gaap--IncomeTaxExpenseBenefi"/>
            <w:bookmarkEnd w:id="107"/>
          </w:p>
        </w:tc>
      </w:tr>
      <w:tr>
        <w:trPr/>
        <w:tc>
          <w:tcPr>
            <w:tcW w:w="4243"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pPr>
            <w:r>
              <w:rPr/>
              <w:t>(205,991</w:t>
            </w:r>
          </w:p>
        </w:tc>
        <w:tc>
          <w:tcPr>
            <w:tcW w:w="97"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CCEEFF" w:val="clear"/>
            <w:tcMar>
              <w:bottom w:w="28" w:type="dxa"/>
            </w:tcMar>
            <w:vAlign w:val="center"/>
          </w:tcPr>
          <w:p>
            <w:pPr>
              <w:pStyle w:val="TableContents"/>
              <w:bidi w:val="0"/>
              <w:spacing w:before="0" w:after="283"/>
              <w:jc w:val="right"/>
              <w:rPr/>
            </w:pPr>
            <w:r>
              <w:rPr/>
              <w:t>(405,680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(515,649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(687,099</w:t>
            </w:r>
          </w:p>
        </w:tc>
        <w:tc>
          <w:tcPr>
            <w:tcW w:w="112" w:type="dxa"/>
            <w:tcBorders/>
            <w:shd w:fill="CCEEFF" w:val="clear"/>
            <w:vAlign w:val="center"/>
          </w:tcPr>
          <w:p>
            <w:pPr>
              <w:pStyle w:val="TableContents"/>
              <w:bidi w:val="0"/>
              <w:spacing w:before="0" w:after="283"/>
              <w:jc w:val="left"/>
              <w:rPr/>
            </w:pPr>
            <w:r>
              <w:rPr/>
              <w:t>)</w:t>
            </w:r>
          </w:p>
        </w:tc>
      </w:tr>
      <w:tr>
        <w:trPr/>
        <w:tc>
          <w:tcPr>
            <w:tcW w:w="4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8" w:name="xdx_40D_eus-gaap--NetIncomeLoss_iT_mtCzY"/>
            <w:bookmarkEnd w:id="108"/>
          </w:p>
        </w:tc>
      </w:tr>
      <w:tr>
        <w:trPr/>
        <w:tc>
          <w:tcPr>
            <w:tcW w:w="4243"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1,051,685</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1,177,001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1,875,167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1,831,518</w:t>
            </w:r>
          </w:p>
        </w:tc>
        <w:tc>
          <w:tcPr>
            <w:tcW w:w="112" w:type="dxa"/>
            <w:tcBorders/>
            <w:shd w:fill="CCEEFF" w:val="clear"/>
            <w:vAlign w:val="center"/>
          </w:tcPr>
          <w:p>
            <w:pPr>
              <w:pStyle w:val="TableContents"/>
              <w:bidi w:val="0"/>
              <w:spacing w:before="0" w:after="283"/>
              <w:jc w:val="left"/>
              <w:rPr/>
            </w:pPr>
            <w:r>
              <w:rPr/>
              <w:t> </w:t>
            </w:r>
          </w:p>
        </w:tc>
      </w:tr>
      <w:tr>
        <w:trPr/>
        <w:tc>
          <w:tcPr>
            <w:tcW w:w="42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bookmarkStart w:id="109" w:name="xdx_403_eus-gaap--ComprehensiveIncomeNet"/>
            <w:bookmarkEnd w:id="109"/>
          </w:p>
        </w:tc>
      </w:tr>
      <w:tr>
        <w:trPr/>
        <w:tc>
          <w:tcPr>
            <w:tcW w:w="4243" w:type="dxa"/>
            <w:tcBorders/>
            <w:shd w:fill="CCEEFF" w:val="clear"/>
            <w:vAlign w:val="center"/>
          </w:tcPr>
          <w:p>
            <w:pPr>
              <w:pStyle w:val="TableContents"/>
              <w:bidi w:val="0"/>
              <w:spacing w:before="0" w:after="283"/>
              <w:jc w:val="left"/>
              <w:rPr/>
            </w:pPr>
            <w:r>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10" w:name="xdx_400_eus-gaap--OtherComprehensiveInco"/>
            <w:bookmarkEnd w:id="110"/>
          </w:p>
        </w:tc>
      </w:tr>
      <w:tr>
        <w:trPr/>
        <w:tc>
          <w:tcPr>
            <w:tcW w:w="4243"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3,959</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3" w:type="dxa"/>
            <w:tcBorders>
              <w:bottom w:val="single" w:sz="8" w:space="0" w:color="000000"/>
            </w:tcBorders>
            <w:shd w:fill="FFFFFF" w:val="clear"/>
            <w:tcMar>
              <w:bottom w:w="28" w:type="dxa"/>
            </w:tcMar>
            <w:vAlign w:val="center"/>
          </w:tcPr>
          <w:p>
            <w:pPr>
              <w:pStyle w:val="TableContents"/>
              <w:bidi w:val="0"/>
              <w:spacing w:before="0" w:after="283"/>
              <w:jc w:val="right"/>
              <w:rPr/>
            </w:pPr>
            <w:r>
              <w:rPr/>
              <w:t>154,939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(13,657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141,403</w:t>
            </w:r>
          </w:p>
        </w:tc>
        <w:tc>
          <w:tcPr>
            <w:tcW w:w="112" w:type="dxa"/>
            <w:tcBorders/>
            <w:shd w:fill="FFFFFF" w:val="clear"/>
            <w:vAlign w:val="center"/>
          </w:tcPr>
          <w:p>
            <w:pPr>
              <w:pStyle w:val="TableContents"/>
              <w:bidi w:val="0"/>
              <w:spacing w:before="0" w:after="283"/>
              <w:jc w:val="left"/>
              <w:rPr/>
            </w:pPr>
            <w:r>
              <w:rPr/>
              <w:t> </w:t>
            </w:r>
          </w:p>
        </w:tc>
      </w:tr>
      <w:tr>
        <w:trPr/>
        <w:tc>
          <w:tcPr>
            <w:tcW w:w="4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bookmarkStart w:id="111" w:name="xdx_401_eus-gaap--ComprehensiveIncomeNet"/>
            <w:bookmarkEnd w:id="111"/>
          </w:p>
        </w:tc>
      </w:tr>
      <w:tr>
        <w:trPr/>
        <w:tc>
          <w:tcPr>
            <w:tcW w:w="4243" w:type="dxa"/>
            <w:tcBorders/>
            <w:shd w:fill="FFFFFF" w:val="clear"/>
            <w:vAlign w:val="center"/>
          </w:tcPr>
          <w:p>
            <w:pPr>
              <w:pStyle w:val="TableContents"/>
              <w:bidi w:val="0"/>
              <w:spacing w:before="0" w:after="283"/>
              <w:jc w:val="left"/>
              <w:rPr/>
            </w:pPr>
            <w:r>
              <w:rPr/>
              <w:t>Total comprehensive income</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3" w:type="dxa"/>
            <w:tcBorders>
              <w:bottom w:val="double" w:sz="6" w:space="0" w:color="000000"/>
            </w:tcBorders>
            <w:shd w:fill="FFFFFF" w:val="clear"/>
            <w:tcMar>
              <w:bottom w:w="28" w:type="dxa"/>
            </w:tcMar>
            <w:vAlign w:val="center"/>
          </w:tcPr>
          <w:p>
            <w:pPr>
              <w:pStyle w:val="TableContents"/>
              <w:bidi w:val="0"/>
              <w:spacing w:before="0" w:after="283"/>
              <w:jc w:val="right"/>
              <w:rPr/>
            </w:pPr>
            <w:r>
              <w:rPr/>
              <w:t>1,055,644</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03" w:type="dxa"/>
            <w:tcBorders>
              <w:bottom w:val="double" w:sz="6" w:space="0" w:color="000000"/>
            </w:tcBorders>
            <w:shd w:fill="FFFFFF" w:val="clear"/>
            <w:tcMar>
              <w:bottom w:w="28" w:type="dxa"/>
            </w:tcMar>
            <w:vAlign w:val="center"/>
          </w:tcPr>
          <w:p>
            <w:pPr>
              <w:pStyle w:val="TableContents"/>
              <w:bidi w:val="0"/>
              <w:spacing w:before="0" w:after="283"/>
              <w:jc w:val="right"/>
              <w:rPr/>
            </w:pPr>
            <w:r>
              <w:rPr/>
              <w:t>1,331,940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1,861,510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1,972,921</w:t>
            </w:r>
          </w:p>
        </w:tc>
        <w:tc>
          <w:tcPr>
            <w:tcW w:w="112" w:type="dxa"/>
            <w:tcBorders/>
            <w:shd w:fill="FFFFFF" w:val="clear"/>
            <w:vAlign w:val="center"/>
          </w:tcPr>
          <w:p>
            <w:pPr>
              <w:pStyle w:val="TableContents"/>
              <w:bidi w:val="0"/>
              <w:spacing w:before="0" w:after="283"/>
              <w:jc w:val="left"/>
              <w:rPr/>
            </w:pPr>
            <w:r>
              <w:rPr/>
              <w:t> </w:t>
            </w:r>
          </w:p>
        </w:tc>
      </w:tr>
      <w:tr>
        <w:trPr/>
        <w:tc>
          <w:tcPr>
            <w:tcW w:w="42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4243" w:type="dxa"/>
            <w:tcBorders/>
            <w:shd w:fill="FFFFFF" w:val="clear"/>
            <w:vAlign w:val="center"/>
          </w:tcPr>
          <w:p>
            <w:pPr>
              <w:pStyle w:val="TableContents"/>
              <w:bidi w:val="0"/>
              <w:spacing w:before="0" w:after="283"/>
              <w:jc w:val="left"/>
              <w:rPr/>
            </w:pPr>
            <w:r>
              <w:rPr/>
              <w:t>Basic and diluted earnings per common share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203" w:type="dxa"/>
            <w:tcBorders/>
            <w:shd w:fill="FFFFFF" w:val="clear"/>
            <w:vAlign w:val="center"/>
          </w:tcPr>
          <w:p>
            <w:pPr>
              <w:pStyle w:val="TableContents"/>
              <w:bidi w:val="0"/>
              <w:spacing w:before="0" w:after="283"/>
              <w:jc w:val="right"/>
              <w:rPr/>
            </w:pPr>
            <w:bookmarkStart w:id="112" w:name="xdx_903_eus-gaap--EarningsPerShareDilute"/>
            <w:bookmarkStart w:id="113" w:name="xdx_903_eus-gaap--EarningsPerShareBasic_"/>
            <w:bookmarkEnd w:id="112"/>
            <w:bookmarkEnd w:id="113"/>
            <w:r>
              <w:rPr/>
              <w:t>0.03</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w:t>
            </w:r>
          </w:p>
        </w:tc>
        <w:tc>
          <w:tcPr>
            <w:tcW w:w="1203" w:type="dxa"/>
            <w:tcBorders/>
            <w:shd w:fill="FFFFFF" w:val="clear"/>
            <w:vAlign w:val="center"/>
          </w:tcPr>
          <w:p>
            <w:pPr>
              <w:pStyle w:val="TableContents"/>
              <w:bidi w:val="0"/>
              <w:spacing w:before="0" w:after="283"/>
              <w:jc w:val="right"/>
              <w:rPr/>
            </w:pPr>
            <w:bookmarkStart w:id="114" w:name="xdx_905_eus-gaap--EarningsPerShareDilute"/>
            <w:bookmarkStart w:id="115" w:name="xdx_907_eus-gaap--EarningsPerShareBasic_"/>
            <w:bookmarkEnd w:id="114"/>
            <w:bookmarkEnd w:id="115"/>
            <w:r>
              <w:rPr/>
              <w:t>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bookmarkStart w:id="116" w:name="xdx_90B_eus-gaap--EarningsPerShareDilute"/>
            <w:bookmarkStart w:id="117" w:name="xdx_906_eus-gaap--EarningsPerShareBasic_"/>
            <w:bookmarkEnd w:id="116"/>
            <w:bookmarkEnd w:id="117"/>
            <w:r>
              <w:rPr/>
              <w:t>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bookmarkStart w:id="118" w:name="xdx_90D_eus-gaap--EarningsPerShareDilute"/>
            <w:bookmarkStart w:id="119" w:name="xdx_902_eus-gaap--EarningsPerShareBasic_"/>
            <w:bookmarkEnd w:id="118"/>
            <w:bookmarkEnd w:id="119"/>
            <w:r>
              <w:rPr/>
              <w:t>0.06</w:t>
            </w:r>
          </w:p>
        </w:tc>
        <w:tc>
          <w:tcPr>
            <w:tcW w:w="112" w:type="dxa"/>
            <w:tcBorders/>
            <w:shd w:fill="FFFFFF" w:val="clear"/>
            <w:vAlign w:val="center"/>
          </w:tcPr>
          <w:p>
            <w:pPr>
              <w:pStyle w:val="TableContents"/>
              <w:bidi w:val="0"/>
              <w:spacing w:before="0" w:after="283"/>
              <w:jc w:val="left"/>
              <w:rPr/>
            </w:pPr>
            <w:r>
              <w:rPr/>
              <w:t> </w:t>
            </w:r>
          </w:p>
        </w:tc>
      </w:tr>
      <w:tr>
        <w:trPr/>
        <w:tc>
          <w:tcPr>
            <w:tcW w:w="4243" w:type="dxa"/>
            <w:tcBorders/>
            <w:shd w:fill="CCEEFF" w:val="clear"/>
            <w:vAlign w:val="center"/>
          </w:tcPr>
          <w:p>
            <w:pPr>
              <w:pStyle w:val="TableContents"/>
              <w:bidi w:val="0"/>
              <w:spacing w:before="0" w:after="283"/>
              <w:jc w:val="left"/>
              <w:rPr/>
            </w:pPr>
            <w:r>
              <w:rPr/>
              <w:t>Weighted-average number of common shares outstanding</w:t>
            </w:r>
          </w:p>
        </w:tc>
        <w:tc>
          <w:tcPr>
            <w:tcW w:w="60"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0" w:name="xdx_909_eus-gaap--WeightedAverageNumberO"/>
            <w:bookmarkStart w:id="121" w:name="xdx_90A_eus-gaap--WeightedAverageNumberO"/>
            <w:bookmarkEnd w:id="120"/>
            <w:bookmarkEnd w:id="121"/>
            <w:r>
              <w:rPr/>
              <w:t>35,191,368</w:t>
            </w:r>
          </w:p>
        </w:tc>
        <w:tc>
          <w:tcPr>
            <w:tcW w:w="9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3"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2" w:name="xdx_90B_eus-gaap--WeightedAverageNumberO"/>
            <w:bookmarkStart w:id="123" w:name="xdx_903_eus-gaap--WeightedAverageNumberO"/>
            <w:bookmarkEnd w:id="122"/>
            <w:bookmarkEnd w:id="123"/>
            <w:r>
              <w:rPr/>
              <w:t>35,160,095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4" w:name="xdx_905_eus-gaap--WeightedAverageNumberO"/>
            <w:bookmarkStart w:id="125" w:name="xdx_904_eus-gaap--WeightedAverageNumberO"/>
            <w:bookmarkEnd w:id="124"/>
            <w:bookmarkEnd w:id="125"/>
            <w:r>
              <w:rPr/>
              <w:t>35,187,524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26" w:name="xdx_900_eus-gaap--WeightedAverageNumberO"/>
            <w:bookmarkStart w:id="127" w:name="xdx_909_eus-gaap--WeightedAverageNumberO"/>
            <w:bookmarkEnd w:id="126"/>
            <w:bookmarkEnd w:id="127"/>
            <w:r>
              <w:rPr/>
              <w:t>35,155,795</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footnotes are an integral part of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 except for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and Six Months Ended June 30, 2026 and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the three months ended June 30, 2026 and 2025</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8" w:name="xdx_30F_114_zzmKlWRLbX3a"/>
      <w:bookmarkStart w:id="129" w:name="xdx_30F_114_zzmKlWRLbX3a"/>
      <w:bookmarkEnd w:id="129"/>
    </w:p>
    <w:tbl>
      <w:tblPr>
        <w:tblW w:w="10205" w:type="dxa"/>
        <w:jc w:val="left"/>
        <w:tblInd w:w="0" w:type="dxa"/>
        <w:tblLayout w:type="fixed"/>
        <w:tblCellMar>
          <w:top w:w="0" w:type="dxa"/>
          <w:left w:w="0" w:type="dxa"/>
          <w:bottom w:w="0" w:type="dxa"/>
          <w:right w:w="0" w:type="dxa"/>
        </w:tblCellMar>
      </w:tblPr>
      <w:tblGrid>
        <w:gridCol w:w="2626"/>
        <w:gridCol w:w="60"/>
        <w:gridCol w:w="60"/>
        <w:gridCol w:w="1100"/>
        <w:gridCol w:w="60"/>
        <w:gridCol w:w="60"/>
        <w:gridCol w:w="172"/>
        <w:gridCol w:w="688"/>
        <w:gridCol w:w="60"/>
        <w:gridCol w:w="60"/>
        <w:gridCol w:w="140"/>
        <w:gridCol w:w="980"/>
        <w:gridCol w:w="60"/>
        <w:gridCol w:w="60"/>
        <w:gridCol w:w="140"/>
        <w:gridCol w:w="980"/>
        <w:gridCol w:w="60"/>
        <w:gridCol w:w="60"/>
        <w:gridCol w:w="215"/>
        <w:gridCol w:w="1183"/>
        <w:gridCol w:w="95"/>
        <w:gridCol w:w="60"/>
        <w:gridCol w:w="143"/>
        <w:gridCol w:w="1006"/>
        <w:gridCol w:w="77"/>
      </w:tblGrid>
      <w:tr>
        <w:trPr/>
        <w:tc>
          <w:tcPr>
            <w:tcW w:w="26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0" w:name="xdx_4B7_us-gaap--StatementEquityComponen"/>
            <w:bookmarkEnd w:id="130"/>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1" w:name="xdx_4BE_us-gaap--StatementEquityComponen"/>
            <w:bookmarkEnd w:id="131"/>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2" w:name="xdx_4B0_us-gaap--StatementEquityComponen"/>
            <w:bookmarkEnd w:id="132"/>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3" w:name="xdx_4B5_us-gaap--StatementEquityComponen"/>
            <w:bookmarkEnd w:id="133"/>
          </w:p>
        </w:tc>
        <w:tc>
          <w:tcPr>
            <w:tcW w:w="13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4" w:name="xdx_4BE_zCrRvkh6jA6c"/>
            <w:bookmarkEnd w:id="134"/>
          </w:p>
        </w:tc>
        <w:tc>
          <w:tcPr>
            <w:tcW w:w="11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77" w:type="dxa"/>
            <w:tcBorders/>
            <w:vAlign w:val="center"/>
          </w:tcPr>
          <w:p>
            <w:pPr>
              <w:pStyle w:val="TableContents"/>
              <w:bidi w:val="0"/>
              <w:spacing w:before="0" w:after="283"/>
              <w:jc w:val="left"/>
              <w:rPr/>
            </w:pPr>
            <w:r>
              <w:rPr/>
              <w:t> </w:t>
            </w:r>
          </w:p>
        </w:tc>
      </w:tr>
      <w:tr>
        <w:trPr/>
        <w:tc>
          <w:tcPr>
            <w:tcW w:w="26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center"/>
              <w:rPr>
                <w:b/>
              </w:rPr>
            </w:pPr>
            <w:r>
              <w:rPr>
                <w:b/>
              </w:rPr>
              <w:t>Retained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8"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9"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77" w:type="dxa"/>
            <w:tcBorders/>
            <w:vAlign w:val="center"/>
          </w:tcPr>
          <w:p>
            <w:pPr>
              <w:pStyle w:val="TableContents"/>
              <w:bidi w:val="0"/>
              <w:spacing w:before="0" w:after="283"/>
              <w:jc w:val="left"/>
              <w:rPr/>
            </w:pPr>
            <w:r>
              <w:rPr/>
              <w:t> </w:t>
            </w:r>
          </w:p>
        </w:tc>
      </w:tr>
      <w:tr>
        <w:trPr/>
        <w:tc>
          <w:tcPr>
            <w:tcW w:w="26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Earnings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77" w:type="dxa"/>
            <w:tcBorders/>
            <w:vAlign w:val="center"/>
          </w:tcPr>
          <w:p>
            <w:pPr>
              <w:pStyle w:val="TableContents"/>
              <w:bidi w:val="0"/>
              <w:spacing w:before="0" w:after="283"/>
              <w:jc w:val="left"/>
              <w:rPr/>
            </w:pPr>
            <w:r>
              <w:rPr/>
              <w:t> </w:t>
            </w:r>
          </w:p>
        </w:tc>
      </w:tr>
      <w:tr>
        <w:trPr/>
        <w:tc>
          <w:tcPr>
            <w:tcW w:w="26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8"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9" w:type="dxa"/>
            <w:gridSpan w:val="2"/>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bookmarkStart w:id="135" w:name="xdx_43F_c20260401__20260630_eus-gaap--St"/>
            <w:bookmarkEnd w:id="135"/>
          </w:p>
        </w:tc>
      </w:tr>
      <w:tr>
        <w:trPr/>
        <w:tc>
          <w:tcPr>
            <w:tcW w:w="2626" w:type="dxa"/>
            <w:tcBorders/>
            <w:shd w:fill="CCEEFF" w:val="clear"/>
            <w:vAlign w:val="center"/>
          </w:tcPr>
          <w:p>
            <w:pPr>
              <w:pStyle w:val="TableContents"/>
              <w:bidi w:val="0"/>
              <w:spacing w:before="0" w:after="283"/>
              <w:jc w:val="left"/>
              <w:rPr>
                <w:b/>
              </w:rPr>
            </w:pPr>
            <w:r>
              <w:rPr>
                <w:b/>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6" w:name="xdx_989_eus-gaap--SharesOutstanding_iS_p"/>
            <w:bookmarkEnd w:id="136"/>
          </w:p>
        </w:tc>
        <w:tc>
          <w:tcPr>
            <w:tcW w:w="1100" w:type="dxa"/>
            <w:tcBorders/>
            <w:shd w:fill="CCEEFF" w:val="clear"/>
            <w:vAlign w:val="center"/>
          </w:tcPr>
          <w:p>
            <w:pPr>
              <w:pStyle w:val="TableContents"/>
              <w:bidi w:val="0"/>
              <w:spacing w:before="0" w:after="283"/>
              <w:jc w:val="right"/>
              <w:rPr/>
            </w:pPr>
            <w:r>
              <w:rPr/>
              <w:t>35,183,890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5,877,682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1,933,156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183" w:type="dxa"/>
            <w:tcBorders/>
            <w:shd w:fill="CCEEFF" w:val="clear"/>
            <w:vAlign w:val="center"/>
          </w:tcPr>
          <w:p>
            <w:pPr>
              <w:pStyle w:val="TableContents"/>
              <w:bidi w:val="0"/>
              <w:spacing w:before="0" w:after="283"/>
              <w:jc w:val="right"/>
              <w:rPr/>
            </w:pPr>
            <w:r>
              <w:rPr/>
              <w:t>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06" w:type="dxa"/>
            <w:tcBorders/>
            <w:shd w:fill="CCEEFF" w:val="clear"/>
            <w:vAlign w:val="center"/>
          </w:tcPr>
          <w:p>
            <w:pPr>
              <w:pStyle w:val="TableContents"/>
              <w:bidi w:val="0"/>
              <w:spacing w:before="0" w:after="283"/>
              <w:jc w:val="right"/>
              <w:rPr/>
            </w:pPr>
            <w:r>
              <w:rPr/>
              <w:t>7,814,724</w:t>
            </w:r>
          </w:p>
        </w:tc>
        <w:tc>
          <w:tcPr>
            <w:tcW w:w="77" w:type="dxa"/>
            <w:tcBorders/>
            <w:shd w:fill="CCEEFF"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bookmarkStart w:id="137" w:name="xdx_407_eus-gaap--StockIssuedDuringPerio"/>
            <w:bookmarkEnd w:id="137"/>
          </w:p>
        </w:tc>
      </w:tr>
      <w:tr>
        <w:trPr/>
        <w:tc>
          <w:tcPr>
            <w:tcW w:w="2626" w:type="dxa"/>
            <w:tcBorders/>
            <w:shd w:fill="CCEEFF" w:val="clear"/>
            <w:vAlign w:val="center"/>
          </w:tcPr>
          <w:p>
            <w:pPr>
              <w:pStyle w:val="TableContents"/>
              <w:bidi w:val="0"/>
              <w:spacing w:before="0" w:after="283"/>
              <w:jc w:val="left"/>
              <w:rPr>
                <w:b/>
              </w:rPr>
            </w:pPr>
            <w:r>
              <w:rPr>
                <w:b/>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8" w:name="xdx_988_eus-gaap--StockIssuedDuringPerio"/>
            <w:bookmarkEnd w:id="138"/>
          </w:p>
        </w:tc>
        <w:tc>
          <w:tcPr>
            <w:tcW w:w="1100" w:type="dxa"/>
            <w:tcBorders/>
            <w:shd w:fill="CCEEFF" w:val="clear"/>
            <w:vAlign w:val="center"/>
          </w:tcPr>
          <w:p>
            <w:pPr>
              <w:pStyle w:val="TableContents"/>
              <w:bidi w:val="0"/>
              <w:spacing w:before="0" w:after="283"/>
              <w:jc w:val="right"/>
              <w:rPr/>
            </w:pPr>
            <w:r>
              <w:rPr/>
              <w:t>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15,000</w:t>
            </w:r>
          </w:p>
        </w:tc>
        <w:tc>
          <w:tcPr>
            <w:tcW w:w="77" w:type="dxa"/>
            <w:tcBorders/>
            <w:shd w:fill="CCEEFF"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bookmarkStart w:id="139" w:name="xdx_403_eus-gaap--OtherComprehensiveInco"/>
            <w:bookmarkEnd w:id="139"/>
          </w:p>
        </w:tc>
      </w:tr>
      <w:tr>
        <w:trPr/>
        <w:tc>
          <w:tcPr>
            <w:tcW w:w="2626" w:type="dxa"/>
            <w:tcBorders/>
            <w:shd w:fill="CCEEFF" w:val="clear"/>
            <w:vAlign w:val="center"/>
          </w:tcPr>
          <w:p>
            <w:pPr>
              <w:pStyle w:val="TableContents"/>
              <w:bidi w:val="0"/>
              <w:spacing w:before="0" w:after="283"/>
              <w:jc w:val="left"/>
              <w:rPr>
                <w:b/>
              </w:rPr>
            </w:pPr>
            <w:r>
              <w:rPr>
                <w:b/>
              </w:rPr>
              <w:t>Currency translation adjustments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3,959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3,959</w:t>
            </w:r>
          </w:p>
        </w:tc>
        <w:tc>
          <w:tcPr>
            <w:tcW w:w="77" w:type="dxa"/>
            <w:tcBorders/>
            <w:shd w:fill="CCEEFF"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bookmarkStart w:id="140" w:name="xdx_403_eus-gaap--NetIncomeLoss_zz7uqedC"/>
            <w:bookmarkEnd w:id="140"/>
          </w:p>
        </w:tc>
      </w:tr>
      <w:tr>
        <w:trPr/>
        <w:tc>
          <w:tcPr>
            <w:tcW w:w="2626"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1,051,685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pPr>
            <w:r>
              <w:rPr/>
              <w:t>1,051,685</w:t>
            </w:r>
          </w:p>
        </w:tc>
        <w:tc>
          <w:tcPr>
            <w:tcW w:w="77" w:type="dxa"/>
            <w:tcBorders/>
            <w:shd w:fill="CCEEFF"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bookmarkStart w:id="141" w:name="xdx_430_c20260401__20260630_eus-gaap--St"/>
            <w:bookmarkEnd w:id="141"/>
          </w:p>
        </w:tc>
      </w:tr>
      <w:tr>
        <w:trPr/>
        <w:tc>
          <w:tcPr>
            <w:tcW w:w="2626" w:type="dxa"/>
            <w:tcBorders/>
            <w:shd w:fill="CCEEFF" w:val="clear"/>
            <w:vAlign w:val="center"/>
          </w:tcPr>
          <w:p>
            <w:pPr>
              <w:pStyle w:val="TableContents"/>
              <w:bidi w:val="0"/>
              <w:spacing w:before="0" w:after="283"/>
              <w:jc w:val="left"/>
              <w:rPr>
                <w:b/>
              </w:rPr>
            </w:pPr>
            <w:r>
              <w:rPr>
                <w:b/>
              </w:rPr>
              <w:t>BALANCE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2" w:name="xdx_986_eus-gaap--SharesOutstanding_iE_p"/>
            <w:bookmarkEnd w:id="142"/>
          </w:p>
        </w:tc>
        <w:tc>
          <w:tcPr>
            <w:tcW w:w="1100" w:type="dxa"/>
            <w:tcBorders/>
            <w:shd w:fill="CCEEFF" w:val="clear"/>
            <w:vAlign w:val="center"/>
          </w:tcPr>
          <w:p>
            <w:pPr>
              <w:pStyle w:val="TableContents"/>
              <w:bidi w:val="0"/>
              <w:spacing w:before="0" w:after="283"/>
              <w:jc w:val="right"/>
              <w:rPr/>
            </w:pPr>
            <w:r>
              <w:rPr/>
              <w:t>35,191,890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5,892,681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2,984,841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183" w:type="dxa"/>
            <w:tcBorders/>
            <w:shd w:fill="CCEEFF" w:val="clear"/>
            <w:vAlign w:val="center"/>
          </w:tcPr>
          <w:p>
            <w:pPr>
              <w:pStyle w:val="TableContents"/>
              <w:bidi w:val="0"/>
              <w:spacing w:before="0" w:after="283"/>
              <w:jc w:val="right"/>
              <w:rPr/>
            </w:pPr>
            <w:r>
              <w:rPr/>
              <w:t>4,327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06" w:type="dxa"/>
            <w:tcBorders/>
            <w:shd w:fill="CCEEFF" w:val="clear"/>
            <w:vAlign w:val="center"/>
          </w:tcPr>
          <w:p>
            <w:pPr>
              <w:pStyle w:val="TableContents"/>
              <w:bidi w:val="0"/>
              <w:spacing w:before="0" w:after="283"/>
              <w:jc w:val="right"/>
              <w:rPr/>
            </w:pPr>
            <w:r>
              <w:rPr/>
              <w:t>8,885,368</w:t>
            </w:r>
          </w:p>
        </w:tc>
        <w:tc>
          <w:tcPr>
            <w:tcW w:w="77" w:type="dxa"/>
            <w:tcBorders/>
            <w:shd w:fill="CCEEFF"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bookmarkStart w:id="143" w:name="xdx_439_c20250401__20250630_eus-gaap--St"/>
            <w:bookmarkEnd w:id="143"/>
          </w:p>
        </w:tc>
      </w:tr>
      <w:tr>
        <w:trPr/>
        <w:tc>
          <w:tcPr>
            <w:tcW w:w="2626" w:type="dxa"/>
            <w:tcBorders/>
            <w:shd w:fill="CCEEFF" w:val="clear"/>
            <w:vAlign w:val="center"/>
          </w:tcPr>
          <w:p>
            <w:pPr>
              <w:pStyle w:val="TableContents"/>
              <w:bidi w:val="0"/>
              <w:spacing w:before="0" w:after="283"/>
              <w:jc w:val="left"/>
              <w:rPr>
                <w:b/>
              </w:rPr>
            </w:pPr>
            <w:r>
              <w:rPr>
                <w:b/>
              </w:rPr>
              <w:t>BALANCE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4" w:name="xdx_987_eus-gaap--SharesOutstanding_iS_p"/>
            <w:bookmarkEnd w:id="144"/>
          </w:p>
        </w:tc>
        <w:tc>
          <w:tcPr>
            <w:tcW w:w="1100" w:type="dxa"/>
            <w:tcBorders/>
            <w:shd w:fill="CCEEFF" w:val="clear"/>
            <w:vAlign w:val="center"/>
          </w:tcPr>
          <w:p>
            <w:pPr>
              <w:pStyle w:val="TableContents"/>
              <w:bidi w:val="0"/>
              <w:spacing w:before="0" w:after="283"/>
              <w:jc w:val="right"/>
              <w:rPr/>
            </w:pPr>
            <w:r>
              <w:rPr/>
              <w:t>35,151,440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3,515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5,817,685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59,342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183" w:type="dxa"/>
            <w:tcBorders/>
            <w:shd w:fill="CCEEFF" w:val="clear"/>
            <w:vAlign w:val="center"/>
          </w:tcPr>
          <w:p>
            <w:pPr>
              <w:pStyle w:val="TableContents"/>
              <w:bidi w:val="0"/>
              <w:spacing w:before="0" w:after="283"/>
              <w:jc w:val="right"/>
              <w:rPr/>
            </w:pPr>
            <w:r>
              <w:rPr/>
              <w:t>(64,819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06" w:type="dxa"/>
            <w:tcBorders/>
            <w:shd w:fill="CCEEFF" w:val="clear"/>
            <w:vAlign w:val="center"/>
          </w:tcPr>
          <w:p>
            <w:pPr>
              <w:pStyle w:val="TableContents"/>
              <w:bidi w:val="0"/>
              <w:spacing w:before="0" w:after="283"/>
              <w:jc w:val="right"/>
              <w:rPr/>
            </w:pPr>
            <w:r>
              <w:rPr/>
              <w:t>5,815,723</w:t>
            </w:r>
          </w:p>
        </w:tc>
        <w:tc>
          <w:tcPr>
            <w:tcW w:w="77" w:type="dxa"/>
            <w:tcBorders/>
            <w:shd w:fill="CCEEFF"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bookmarkStart w:id="145" w:name="xdx_402_eus-gaap--StockIssuedDuringPerio"/>
            <w:bookmarkEnd w:id="145"/>
          </w:p>
        </w:tc>
      </w:tr>
      <w:tr>
        <w:trPr/>
        <w:tc>
          <w:tcPr>
            <w:tcW w:w="2626" w:type="dxa"/>
            <w:tcBorders/>
            <w:shd w:fill="CCEEFF" w:val="clear"/>
            <w:vAlign w:val="center"/>
          </w:tcPr>
          <w:p>
            <w:pPr>
              <w:pStyle w:val="TableContents"/>
              <w:bidi w:val="0"/>
              <w:spacing w:before="0" w:after="283"/>
              <w:jc w:val="left"/>
              <w:rPr>
                <w:b/>
              </w:rPr>
            </w:pPr>
            <w:r>
              <w:rPr>
                <w:b/>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6" w:name="xdx_988_eus-gaap--StockIssuedDuringPerio"/>
            <w:bookmarkEnd w:id="146"/>
          </w:p>
        </w:tc>
        <w:tc>
          <w:tcPr>
            <w:tcW w:w="1100" w:type="dxa"/>
            <w:tcBorders/>
            <w:shd w:fill="CCEEFF" w:val="clear"/>
            <w:vAlign w:val="center"/>
          </w:tcPr>
          <w:p>
            <w:pPr>
              <w:pStyle w:val="TableContents"/>
              <w:bidi w:val="0"/>
              <w:spacing w:before="0" w:after="283"/>
              <w:jc w:val="right"/>
              <w:rPr/>
            </w:pPr>
            <w:r>
              <w:rPr/>
              <w:t>8,750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15,001</w:t>
            </w:r>
          </w:p>
        </w:tc>
        <w:tc>
          <w:tcPr>
            <w:tcW w:w="77" w:type="dxa"/>
            <w:tcBorders/>
            <w:shd w:fill="CCEEFF"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bookmarkStart w:id="147" w:name="xdx_403_eus-gaap--OtherComprehensiveInco"/>
            <w:bookmarkEnd w:id="147"/>
          </w:p>
        </w:tc>
      </w:tr>
      <w:tr>
        <w:trPr/>
        <w:tc>
          <w:tcPr>
            <w:tcW w:w="2626" w:type="dxa"/>
            <w:tcBorders/>
            <w:shd w:fill="CCEEFF" w:val="clear"/>
            <w:vAlign w:val="center"/>
          </w:tcPr>
          <w:p>
            <w:pPr>
              <w:pStyle w:val="TableContents"/>
              <w:bidi w:val="0"/>
              <w:spacing w:before="0" w:after="283"/>
              <w:jc w:val="left"/>
              <w:rPr>
                <w:b/>
              </w:rPr>
            </w:pPr>
            <w:r>
              <w:rPr>
                <w:b/>
              </w:rPr>
              <w:t>Currency translation adjustments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154,939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154,939</w:t>
            </w:r>
          </w:p>
        </w:tc>
        <w:tc>
          <w:tcPr>
            <w:tcW w:w="77" w:type="dxa"/>
            <w:tcBorders/>
            <w:shd w:fill="CCEEFF"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bookmarkStart w:id="148" w:name="xdx_403_eus-gaap--NetIncomeLoss_zWSaX2Lo"/>
            <w:bookmarkEnd w:id="148"/>
          </w:p>
        </w:tc>
      </w:tr>
      <w:tr>
        <w:trPr/>
        <w:tc>
          <w:tcPr>
            <w:tcW w:w="2626"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1,177,001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pPr>
            <w:r>
              <w:rPr/>
              <w:t>1,177,001</w:t>
            </w:r>
          </w:p>
        </w:tc>
        <w:tc>
          <w:tcPr>
            <w:tcW w:w="77" w:type="dxa"/>
            <w:tcBorders/>
            <w:shd w:fill="CCEEFF" w:val="clear"/>
            <w:vAlign w:val="center"/>
          </w:tcPr>
          <w:p>
            <w:pPr>
              <w:pStyle w:val="TableContents"/>
              <w:bidi w:val="0"/>
              <w:spacing w:before="0" w:after="283"/>
              <w:jc w:val="left"/>
              <w:rPr/>
            </w:pPr>
            <w:r>
              <w:rPr/>
              <w:t> </w:t>
            </w:r>
          </w:p>
        </w:tc>
      </w:tr>
      <w:tr>
        <w:trPr/>
        <w:tc>
          <w:tcPr>
            <w:tcW w:w="26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bookmarkStart w:id="149" w:name="xdx_433_c20250401__20250630_eus-gaap--St"/>
            <w:bookmarkEnd w:id="149"/>
          </w:p>
        </w:tc>
      </w:tr>
      <w:tr>
        <w:trPr/>
        <w:tc>
          <w:tcPr>
            <w:tcW w:w="2626" w:type="dxa"/>
            <w:tcBorders/>
            <w:shd w:fill="CCEEFF" w:val="clear"/>
            <w:vAlign w:val="center"/>
          </w:tcPr>
          <w:p>
            <w:pPr>
              <w:pStyle w:val="TableContents"/>
              <w:bidi w:val="0"/>
              <w:spacing w:before="0" w:after="283"/>
              <w:jc w:val="left"/>
              <w:rPr>
                <w:b/>
              </w:rPr>
            </w:pPr>
            <w:r>
              <w:rPr>
                <w:b/>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0" w:name="xdx_988_eus-gaap--SharesOutstanding_iE_p"/>
            <w:bookmarkEnd w:id="150"/>
          </w:p>
        </w:tc>
        <w:tc>
          <w:tcPr>
            <w:tcW w:w="1100" w:type="dxa"/>
            <w:tcBorders/>
            <w:shd w:fill="CCEEFF" w:val="clear"/>
            <w:vAlign w:val="center"/>
          </w:tcPr>
          <w:p>
            <w:pPr>
              <w:pStyle w:val="TableContents"/>
              <w:bidi w:val="0"/>
              <w:spacing w:before="0" w:after="283"/>
              <w:jc w:val="right"/>
              <w:rPr/>
            </w:pPr>
            <w:r>
              <w:rPr/>
              <w:t>35,160,190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5,832,685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1,236,343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1183" w:type="dxa"/>
            <w:tcBorders/>
            <w:shd w:fill="CCEEFF" w:val="clear"/>
            <w:vAlign w:val="center"/>
          </w:tcPr>
          <w:p>
            <w:pPr>
              <w:pStyle w:val="TableContents"/>
              <w:bidi w:val="0"/>
              <w:spacing w:before="0" w:after="283"/>
              <w:jc w:val="right"/>
              <w:rPr/>
            </w:pPr>
            <w:r>
              <w:rPr/>
              <w:t>90,120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1006" w:type="dxa"/>
            <w:tcBorders/>
            <w:shd w:fill="CCEEFF" w:val="clear"/>
            <w:vAlign w:val="center"/>
          </w:tcPr>
          <w:p>
            <w:pPr>
              <w:pStyle w:val="TableContents"/>
              <w:bidi w:val="0"/>
              <w:spacing w:before="0" w:after="283"/>
              <w:jc w:val="right"/>
              <w:rPr/>
            </w:pPr>
            <w:r>
              <w:rPr/>
              <w:t>7,162,664</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the six months ended June 30, 2026 and 2025</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1"/>
        <w:gridCol w:w="60"/>
        <w:gridCol w:w="60"/>
        <w:gridCol w:w="1100"/>
        <w:gridCol w:w="60"/>
        <w:gridCol w:w="60"/>
        <w:gridCol w:w="172"/>
        <w:gridCol w:w="688"/>
        <w:gridCol w:w="60"/>
        <w:gridCol w:w="60"/>
        <w:gridCol w:w="140"/>
        <w:gridCol w:w="980"/>
        <w:gridCol w:w="60"/>
        <w:gridCol w:w="60"/>
        <w:gridCol w:w="224"/>
        <w:gridCol w:w="1579"/>
        <w:gridCol w:w="95"/>
        <w:gridCol w:w="60"/>
        <w:gridCol w:w="201"/>
        <w:gridCol w:w="1157"/>
        <w:gridCol w:w="95"/>
        <w:gridCol w:w="60"/>
        <w:gridCol w:w="141"/>
        <w:gridCol w:w="988"/>
        <w:gridCol w:w="114"/>
      </w:tblGrid>
      <w:tr>
        <w:trPr/>
        <w:tc>
          <w:tcPr>
            <w:tcW w:w="19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3" w:type="dxa"/>
            <w:gridSpan w:val="2"/>
            <w:tcBorders/>
            <w:vAlign w:val="center"/>
          </w:tcPr>
          <w:p>
            <w:pPr>
              <w:pStyle w:val="TableContents"/>
              <w:bidi w:val="0"/>
              <w:spacing w:before="0" w:after="283"/>
              <w:jc w:val="center"/>
              <w:rPr>
                <w:b/>
              </w:rPr>
            </w:pPr>
            <w:r>
              <w:rPr>
                <w:b/>
              </w:rPr>
              <w:t>Retained Earnings (Accumulated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8"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w:t>
            </w:r>
          </w:p>
        </w:tc>
        <w:tc>
          <w:tcPr>
            <w:tcW w:w="114" w:type="dxa"/>
            <w:tcBorders/>
            <w:vAlign w:val="center"/>
          </w:tcPr>
          <w:p>
            <w:pPr>
              <w:pStyle w:val="TableContents"/>
              <w:bidi w:val="0"/>
              <w:spacing w:before="0" w:after="283"/>
              <w:jc w:val="left"/>
              <w:rPr/>
            </w:pPr>
            <w:r>
              <w:rPr/>
              <w:t> </w:t>
            </w:r>
          </w:p>
        </w:tc>
      </w:tr>
      <w:tr>
        <w:trPr/>
        <w:tc>
          <w:tcPr>
            <w:tcW w:w="19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4" w:type="dxa"/>
            <w:tcBorders/>
            <w:vAlign w:val="center"/>
          </w:tcPr>
          <w:p>
            <w:pPr>
              <w:pStyle w:val="TableContents"/>
              <w:bidi w:val="0"/>
              <w:spacing w:before="0" w:after="283"/>
              <w:jc w:val="left"/>
              <w:rPr/>
            </w:pPr>
            <w:r>
              <w:rPr/>
              <w:t> </w:t>
            </w:r>
          </w:p>
        </w:tc>
      </w:tr>
      <w:tr>
        <w:trPr/>
        <w:tc>
          <w:tcPr>
            <w:tcW w:w="19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3"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8"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bookmarkStart w:id="151" w:name="xdx_43D_c20260101__20260630_eus-gaap--St"/>
            <w:bookmarkEnd w:id="151"/>
          </w:p>
        </w:tc>
      </w:tr>
      <w:tr>
        <w:trPr/>
        <w:tc>
          <w:tcPr>
            <w:tcW w:w="1931" w:type="dxa"/>
            <w:tcBorders/>
            <w:shd w:fill="CCEEFF" w:val="clear"/>
            <w:vAlign w:val="center"/>
          </w:tcPr>
          <w:p>
            <w:pPr>
              <w:pStyle w:val="TableContents"/>
              <w:bidi w:val="0"/>
              <w:spacing w:before="0" w:after="283"/>
              <w:jc w:val="left"/>
              <w:rPr>
                <w:b/>
              </w:rPr>
            </w:pPr>
            <w:r>
              <w:rPr>
                <w:b/>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2" w:name="xdx_985_eus-gaap--SharesOutstanding_iS_p"/>
            <w:bookmarkEnd w:id="152"/>
          </w:p>
        </w:tc>
        <w:tc>
          <w:tcPr>
            <w:tcW w:w="1100" w:type="dxa"/>
            <w:tcBorders/>
            <w:shd w:fill="CCEEFF" w:val="clear"/>
            <w:vAlign w:val="center"/>
          </w:tcPr>
          <w:p>
            <w:pPr>
              <w:pStyle w:val="TableContents"/>
              <w:bidi w:val="0"/>
              <w:spacing w:before="0" w:after="283"/>
              <w:jc w:val="right"/>
              <w:rPr/>
            </w:pPr>
            <w:r>
              <w:rPr/>
              <w:t>35,176,320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5,862,683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579" w:type="dxa"/>
            <w:tcBorders/>
            <w:shd w:fill="CCEEFF" w:val="clear"/>
            <w:vAlign w:val="center"/>
          </w:tcPr>
          <w:p>
            <w:pPr>
              <w:pStyle w:val="TableContents"/>
              <w:bidi w:val="0"/>
              <w:spacing w:before="0" w:after="283"/>
              <w:jc w:val="right"/>
              <w:rPr/>
            </w:pPr>
            <w:r>
              <w:rPr/>
              <w:t>1,109,674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57" w:type="dxa"/>
            <w:tcBorders/>
            <w:shd w:fill="CCEEFF" w:val="clear"/>
            <w:vAlign w:val="center"/>
          </w:tcPr>
          <w:p>
            <w:pPr>
              <w:pStyle w:val="TableContents"/>
              <w:bidi w:val="0"/>
              <w:spacing w:before="0" w:after="283"/>
              <w:jc w:val="right"/>
              <w:rPr/>
            </w:pPr>
            <w:r>
              <w:rPr/>
              <w:t>17,984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6,993,859</w:t>
            </w:r>
          </w:p>
        </w:tc>
        <w:tc>
          <w:tcPr>
            <w:tcW w:w="114" w:type="dxa"/>
            <w:tcBorders/>
            <w:shd w:fill="CCEEFF" w:val="clear"/>
            <w:vAlign w:val="center"/>
          </w:tcPr>
          <w:p>
            <w:pPr>
              <w:pStyle w:val="TableContents"/>
              <w:bidi w:val="0"/>
              <w:spacing w:before="0" w:after="283"/>
              <w:jc w:val="left"/>
              <w:rPr/>
            </w:pPr>
            <w:r>
              <w:rPr/>
              <w:t> </w:t>
            </w:r>
          </w:p>
        </w:tc>
      </w:tr>
      <w:tr>
        <w:trPr/>
        <w:tc>
          <w:tcPr>
            <w:tcW w:w="19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53" w:name="xdx_407_eus-gaap--StockIssuedDuringPerio"/>
            <w:bookmarkEnd w:id="153"/>
          </w:p>
        </w:tc>
      </w:tr>
      <w:tr>
        <w:trPr/>
        <w:tc>
          <w:tcPr>
            <w:tcW w:w="1931" w:type="dxa"/>
            <w:tcBorders/>
            <w:shd w:fill="CCEEFF" w:val="clear"/>
            <w:vAlign w:val="center"/>
          </w:tcPr>
          <w:p>
            <w:pPr>
              <w:pStyle w:val="TableContents"/>
              <w:bidi w:val="0"/>
              <w:spacing w:before="0" w:after="283"/>
              <w:jc w:val="left"/>
              <w:rPr>
                <w:b/>
              </w:rPr>
            </w:pPr>
            <w:r>
              <w:rPr>
                <w:b/>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4" w:name="xdx_986_eus-gaap--StockIssuedDuringPerio"/>
            <w:bookmarkEnd w:id="154"/>
          </w:p>
        </w:tc>
        <w:tc>
          <w:tcPr>
            <w:tcW w:w="1100" w:type="dxa"/>
            <w:tcBorders/>
            <w:shd w:fill="CCEEFF" w:val="clear"/>
            <w:vAlign w:val="center"/>
          </w:tcPr>
          <w:p>
            <w:pPr>
              <w:pStyle w:val="TableContents"/>
              <w:bidi w:val="0"/>
              <w:spacing w:before="0" w:after="283"/>
              <w:jc w:val="right"/>
              <w:rPr/>
            </w:pPr>
            <w:r>
              <w:rPr/>
              <w:t>15,570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29,999</w:t>
            </w:r>
          </w:p>
        </w:tc>
        <w:tc>
          <w:tcPr>
            <w:tcW w:w="114" w:type="dxa"/>
            <w:tcBorders/>
            <w:shd w:fill="CCEEFF" w:val="clear"/>
            <w:vAlign w:val="center"/>
          </w:tcPr>
          <w:p>
            <w:pPr>
              <w:pStyle w:val="TableContents"/>
              <w:bidi w:val="0"/>
              <w:spacing w:before="0" w:after="283"/>
              <w:jc w:val="left"/>
              <w:rPr/>
            </w:pPr>
            <w:r>
              <w:rPr/>
              <w:t> </w:t>
            </w:r>
          </w:p>
        </w:tc>
      </w:tr>
      <w:tr>
        <w:trPr/>
        <w:tc>
          <w:tcPr>
            <w:tcW w:w="19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55" w:name="xdx_403_eus-gaap--OtherComprehensiveInco"/>
            <w:bookmarkEnd w:id="155"/>
          </w:p>
        </w:tc>
      </w:tr>
      <w:tr>
        <w:trPr/>
        <w:tc>
          <w:tcPr>
            <w:tcW w:w="1931" w:type="dxa"/>
            <w:tcBorders/>
            <w:shd w:fill="CCEEFF" w:val="clear"/>
            <w:vAlign w:val="center"/>
          </w:tcPr>
          <w:p>
            <w:pPr>
              <w:pStyle w:val="TableContents"/>
              <w:bidi w:val="0"/>
              <w:spacing w:before="0" w:after="283"/>
              <w:jc w:val="left"/>
              <w:rPr>
                <w:b/>
              </w:rPr>
            </w:pPr>
            <w:r>
              <w:rPr>
                <w:b/>
              </w:rPr>
              <w:t>Currency translation adjustments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(13,657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(13,657</w:t>
            </w:r>
          </w:p>
        </w:tc>
        <w:tc>
          <w:tcPr>
            <w:tcW w:w="114" w:type="dxa"/>
            <w:tcBorders/>
            <w:shd w:fill="CCEEFF" w:val="clear"/>
            <w:vAlign w:val="center"/>
          </w:tcPr>
          <w:p>
            <w:pPr>
              <w:pStyle w:val="TableContents"/>
              <w:bidi w:val="0"/>
              <w:spacing w:before="0" w:after="283"/>
              <w:jc w:val="left"/>
              <w:rPr/>
            </w:pPr>
            <w:r>
              <w:rPr/>
              <w:t>)</w:t>
            </w:r>
          </w:p>
        </w:tc>
      </w:tr>
      <w:tr>
        <w:trPr/>
        <w:tc>
          <w:tcPr>
            <w:tcW w:w="19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56" w:name="xdx_403_eus-gaap--NetIncomeLoss_z1iREZyH"/>
            <w:bookmarkEnd w:id="156"/>
          </w:p>
        </w:tc>
      </w:tr>
      <w:tr>
        <w:trPr/>
        <w:tc>
          <w:tcPr>
            <w:tcW w:w="1931"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9" w:type="dxa"/>
            <w:tcBorders>
              <w:bottom w:val="single" w:sz="8" w:space="0" w:color="000000"/>
            </w:tcBorders>
            <w:shd w:fill="CCEEFF" w:val="clear"/>
            <w:tcMar>
              <w:bottom w:w="28" w:type="dxa"/>
            </w:tcMar>
            <w:vAlign w:val="center"/>
          </w:tcPr>
          <w:p>
            <w:pPr>
              <w:pStyle w:val="TableContents"/>
              <w:bidi w:val="0"/>
              <w:spacing w:before="0" w:after="283"/>
              <w:jc w:val="right"/>
              <w:rPr/>
            </w:pPr>
            <w:r>
              <w:rPr/>
              <w:t>1,875,167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1,875,167</w:t>
            </w:r>
          </w:p>
        </w:tc>
        <w:tc>
          <w:tcPr>
            <w:tcW w:w="114" w:type="dxa"/>
            <w:tcBorders/>
            <w:shd w:fill="CCEEFF" w:val="clear"/>
            <w:vAlign w:val="center"/>
          </w:tcPr>
          <w:p>
            <w:pPr>
              <w:pStyle w:val="TableContents"/>
              <w:bidi w:val="0"/>
              <w:spacing w:before="0" w:after="283"/>
              <w:jc w:val="left"/>
              <w:rPr/>
            </w:pPr>
            <w:r>
              <w:rPr/>
              <w:t> </w:t>
            </w:r>
          </w:p>
        </w:tc>
      </w:tr>
      <w:tr>
        <w:trPr/>
        <w:tc>
          <w:tcPr>
            <w:tcW w:w="19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57" w:name="xdx_432_c20260101__20260630_eus-gaap--St"/>
            <w:bookmarkEnd w:id="157"/>
          </w:p>
        </w:tc>
      </w:tr>
      <w:tr>
        <w:trPr/>
        <w:tc>
          <w:tcPr>
            <w:tcW w:w="1931" w:type="dxa"/>
            <w:tcBorders/>
            <w:shd w:fill="CCEEFF" w:val="clear"/>
            <w:vAlign w:val="center"/>
          </w:tcPr>
          <w:p>
            <w:pPr>
              <w:pStyle w:val="TableContents"/>
              <w:bidi w:val="0"/>
              <w:spacing w:before="0" w:after="283"/>
              <w:jc w:val="left"/>
              <w:rPr>
                <w:b/>
              </w:rPr>
            </w:pPr>
            <w:r>
              <w:rPr>
                <w:b/>
              </w:rPr>
              <w:t>BALANCE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8" w:name="xdx_98B_eus-gaap--SharesOutstanding_iE_p"/>
            <w:bookmarkEnd w:id="158"/>
          </w:p>
        </w:tc>
        <w:tc>
          <w:tcPr>
            <w:tcW w:w="1100" w:type="dxa"/>
            <w:tcBorders/>
            <w:shd w:fill="CCEEFF" w:val="clear"/>
            <w:vAlign w:val="center"/>
          </w:tcPr>
          <w:p>
            <w:pPr>
              <w:pStyle w:val="TableContents"/>
              <w:bidi w:val="0"/>
              <w:spacing w:before="0" w:after="283"/>
              <w:jc w:val="right"/>
              <w:rPr/>
            </w:pPr>
            <w:r>
              <w:rPr/>
              <w:t>35,191,890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5,892,681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579" w:type="dxa"/>
            <w:tcBorders/>
            <w:shd w:fill="CCEEFF" w:val="clear"/>
            <w:vAlign w:val="center"/>
          </w:tcPr>
          <w:p>
            <w:pPr>
              <w:pStyle w:val="TableContents"/>
              <w:bidi w:val="0"/>
              <w:spacing w:before="0" w:after="283"/>
              <w:jc w:val="right"/>
              <w:rPr/>
            </w:pPr>
            <w:r>
              <w:rPr/>
              <w:t>2,984,841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57" w:type="dxa"/>
            <w:tcBorders/>
            <w:shd w:fill="CCEEFF" w:val="clear"/>
            <w:vAlign w:val="center"/>
          </w:tcPr>
          <w:p>
            <w:pPr>
              <w:pStyle w:val="TableContents"/>
              <w:bidi w:val="0"/>
              <w:spacing w:before="0" w:after="283"/>
              <w:jc w:val="right"/>
              <w:rPr/>
            </w:pPr>
            <w:r>
              <w:rPr/>
              <w:t>4,327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8,885,368</w:t>
            </w:r>
          </w:p>
        </w:tc>
        <w:tc>
          <w:tcPr>
            <w:tcW w:w="114" w:type="dxa"/>
            <w:tcBorders/>
            <w:shd w:fill="CCEEFF" w:val="clear"/>
            <w:vAlign w:val="center"/>
          </w:tcPr>
          <w:p>
            <w:pPr>
              <w:pStyle w:val="TableContents"/>
              <w:bidi w:val="0"/>
              <w:spacing w:before="0" w:after="283"/>
              <w:jc w:val="left"/>
              <w:rPr/>
            </w:pPr>
            <w:r>
              <w:rPr/>
              <w:t> </w:t>
            </w:r>
          </w:p>
        </w:tc>
      </w:tr>
      <w:tr>
        <w:trPr/>
        <w:tc>
          <w:tcPr>
            <w:tcW w:w="19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59" w:name="xdx_434_c20250101__20250630_eus-gaap--St"/>
            <w:bookmarkEnd w:id="159"/>
          </w:p>
        </w:tc>
      </w:tr>
      <w:tr>
        <w:trPr/>
        <w:tc>
          <w:tcPr>
            <w:tcW w:w="1931" w:type="dxa"/>
            <w:tcBorders/>
            <w:shd w:fill="CCEEFF" w:val="clear"/>
            <w:vAlign w:val="center"/>
          </w:tcPr>
          <w:p>
            <w:pPr>
              <w:pStyle w:val="TableContents"/>
              <w:bidi w:val="0"/>
              <w:spacing w:before="0" w:after="283"/>
              <w:jc w:val="left"/>
              <w:rPr>
                <w:b/>
              </w:rPr>
            </w:pPr>
            <w:r>
              <w:rPr>
                <w:b/>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0" w:name="xdx_989_eus-gaap--SharesOutstanding_iS_p"/>
            <w:bookmarkEnd w:id="160"/>
          </w:p>
        </w:tc>
        <w:tc>
          <w:tcPr>
            <w:tcW w:w="1100" w:type="dxa"/>
            <w:tcBorders/>
            <w:shd w:fill="CCEEFF" w:val="clear"/>
            <w:vAlign w:val="center"/>
          </w:tcPr>
          <w:p>
            <w:pPr>
              <w:pStyle w:val="TableContents"/>
              <w:bidi w:val="0"/>
              <w:spacing w:before="0" w:after="283"/>
              <w:jc w:val="right"/>
              <w:rPr/>
            </w:pPr>
            <w:r>
              <w:rPr/>
              <w:t>35,143,460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5,802,686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579" w:type="dxa"/>
            <w:tcBorders/>
            <w:shd w:fill="CCEEFF" w:val="clear"/>
            <w:vAlign w:val="center"/>
          </w:tcPr>
          <w:p>
            <w:pPr>
              <w:pStyle w:val="TableContents"/>
              <w:bidi w:val="0"/>
              <w:spacing w:before="0" w:after="283"/>
              <w:jc w:val="right"/>
              <w:rPr/>
            </w:pPr>
            <w:r>
              <w:rPr/>
              <w:t>(595,175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57" w:type="dxa"/>
            <w:tcBorders/>
            <w:shd w:fill="CCEEFF" w:val="clear"/>
            <w:vAlign w:val="center"/>
          </w:tcPr>
          <w:p>
            <w:pPr>
              <w:pStyle w:val="TableContents"/>
              <w:bidi w:val="0"/>
              <w:spacing w:before="0" w:after="283"/>
              <w:jc w:val="right"/>
              <w:rPr/>
            </w:pPr>
            <w:r>
              <w:rPr/>
              <w:t>(51,283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5,159,742</w:t>
            </w:r>
          </w:p>
        </w:tc>
        <w:tc>
          <w:tcPr>
            <w:tcW w:w="114" w:type="dxa"/>
            <w:tcBorders/>
            <w:shd w:fill="CCEEFF" w:val="clear"/>
            <w:vAlign w:val="center"/>
          </w:tcPr>
          <w:p>
            <w:pPr>
              <w:pStyle w:val="TableContents"/>
              <w:bidi w:val="0"/>
              <w:spacing w:before="0" w:after="283"/>
              <w:jc w:val="left"/>
              <w:rPr/>
            </w:pPr>
            <w:r>
              <w:rPr/>
              <w:t> </w:t>
            </w:r>
            <w:bookmarkStart w:id="161" w:name="xdx_43B_c20250101__20250630_eus-gaap--St"/>
            <w:bookmarkEnd w:id="161"/>
          </w:p>
        </w:tc>
      </w:tr>
      <w:tr>
        <w:trPr/>
        <w:tc>
          <w:tcPr>
            <w:tcW w:w="1931" w:type="dxa"/>
            <w:tcBorders/>
            <w:shd w:fill="CCEEFF" w:val="clear"/>
            <w:vAlign w:val="center"/>
          </w:tcPr>
          <w:p>
            <w:pPr>
              <w:pStyle w:val="TableContents"/>
              <w:bidi w:val="0"/>
              <w:spacing w:before="0" w:after="283"/>
              <w:jc w:val="left"/>
              <w:rPr>
                <w:b/>
              </w:rPr>
            </w:pPr>
            <w:r>
              <w:rPr>
                <w:b/>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2" w:name="xdx_981_eus-gaap--SharesOutstanding_iS_p"/>
            <w:bookmarkEnd w:id="162"/>
          </w:p>
        </w:tc>
        <w:tc>
          <w:tcPr>
            <w:tcW w:w="1100" w:type="dxa"/>
            <w:tcBorders/>
            <w:shd w:fill="CCEEFF" w:val="clear"/>
            <w:vAlign w:val="center"/>
          </w:tcPr>
          <w:p>
            <w:pPr>
              <w:pStyle w:val="TableContents"/>
              <w:bidi w:val="0"/>
              <w:spacing w:before="0" w:after="283"/>
              <w:jc w:val="right"/>
              <w:rPr/>
            </w:pPr>
            <w:r>
              <w:rPr/>
              <w:t>35,143,460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5,802,686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579" w:type="dxa"/>
            <w:tcBorders/>
            <w:shd w:fill="CCEEFF" w:val="clear"/>
            <w:vAlign w:val="center"/>
          </w:tcPr>
          <w:p>
            <w:pPr>
              <w:pStyle w:val="TableContents"/>
              <w:bidi w:val="0"/>
              <w:spacing w:before="0" w:after="283"/>
              <w:jc w:val="right"/>
              <w:rPr/>
            </w:pPr>
            <w:r>
              <w:rPr/>
              <w:t>(595,175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57" w:type="dxa"/>
            <w:tcBorders/>
            <w:shd w:fill="CCEEFF" w:val="clear"/>
            <w:vAlign w:val="center"/>
          </w:tcPr>
          <w:p>
            <w:pPr>
              <w:pStyle w:val="TableContents"/>
              <w:bidi w:val="0"/>
              <w:spacing w:before="0" w:after="283"/>
              <w:jc w:val="right"/>
              <w:rPr/>
            </w:pPr>
            <w:r>
              <w:rPr/>
              <w:t>(51,283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5,159,742</w:t>
            </w:r>
          </w:p>
        </w:tc>
        <w:tc>
          <w:tcPr>
            <w:tcW w:w="114" w:type="dxa"/>
            <w:tcBorders/>
            <w:shd w:fill="CCEEFF" w:val="clear"/>
            <w:vAlign w:val="center"/>
          </w:tcPr>
          <w:p>
            <w:pPr>
              <w:pStyle w:val="TableContents"/>
              <w:bidi w:val="0"/>
              <w:spacing w:before="0" w:after="283"/>
              <w:jc w:val="left"/>
              <w:rPr/>
            </w:pPr>
            <w:r>
              <w:rPr/>
              <w:t> </w:t>
            </w:r>
          </w:p>
        </w:tc>
      </w:tr>
      <w:tr>
        <w:trPr/>
        <w:tc>
          <w:tcPr>
            <w:tcW w:w="19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63" w:name="xdx_406_eus-gaap--StockIssuedDuringPerio"/>
            <w:bookmarkEnd w:id="163"/>
          </w:p>
        </w:tc>
      </w:tr>
      <w:tr>
        <w:trPr/>
        <w:tc>
          <w:tcPr>
            <w:tcW w:w="1931" w:type="dxa"/>
            <w:tcBorders/>
            <w:shd w:fill="CCEEFF" w:val="clear"/>
            <w:vAlign w:val="center"/>
          </w:tcPr>
          <w:p>
            <w:pPr>
              <w:pStyle w:val="TableContents"/>
              <w:bidi w:val="0"/>
              <w:spacing w:before="0" w:after="283"/>
              <w:jc w:val="left"/>
              <w:rPr>
                <w:b/>
              </w:rPr>
            </w:pPr>
            <w:r>
              <w:rPr>
                <w:b/>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4" w:name="xdx_986_eus-gaap--StockIssuedDuringPerio"/>
            <w:bookmarkEnd w:id="164"/>
          </w:p>
        </w:tc>
        <w:tc>
          <w:tcPr>
            <w:tcW w:w="1100" w:type="dxa"/>
            <w:tcBorders/>
            <w:shd w:fill="CCEEFF" w:val="clear"/>
            <w:vAlign w:val="center"/>
          </w:tcPr>
          <w:p>
            <w:pPr>
              <w:pStyle w:val="TableContents"/>
              <w:bidi w:val="0"/>
              <w:spacing w:before="0" w:after="283"/>
              <w:jc w:val="right"/>
              <w:rPr/>
            </w:pPr>
            <w:r>
              <w:rPr/>
              <w:t>16,730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30,001</w:t>
            </w:r>
          </w:p>
        </w:tc>
        <w:tc>
          <w:tcPr>
            <w:tcW w:w="114" w:type="dxa"/>
            <w:tcBorders/>
            <w:shd w:fill="CCEEFF" w:val="clear"/>
            <w:vAlign w:val="center"/>
          </w:tcPr>
          <w:p>
            <w:pPr>
              <w:pStyle w:val="TableContents"/>
              <w:bidi w:val="0"/>
              <w:spacing w:before="0" w:after="283"/>
              <w:jc w:val="left"/>
              <w:rPr/>
            </w:pPr>
            <w:r>
              <w:rPr/>
              <w:t> </w:t>
            </w:r>
          </w:p>
        </w:tc>
      </w:tr>
      <w:tr>
        <w:trPr/>
        <w:tc>
          <w:tcPr>
            <w:tcW w:w="19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65" w:name="xdx_407_eus-gaap--OtherComprehensiveInco"/>
            <w:bookmarkEnd w:id="165"/>
          </w:p>
        </w:tc>
      </w:tr>
      <w:tr>
        <w:trPr/>
        <w:tc>
          <w:tcPr>
            <w:tcW w:w="1931" w:type="dxa"/>
            <w:tcBorders/>
            <w:shd w:fill="CCEEFF" w:val="clear"/>
            <w:vAlign w:val="center"/>
          </w:tcPr>
          <w:p>
            <w:pPr>
              <w:pStyle w:val="TableContents"/>
              <w:bidi w:val="0"/>
              <w:spacing w:before="0" w:after="283"/>
              <w:jc w:val="left"/>
              <w:rPr>
                <w:b/>
              </w:rPr>
            </w:pPr>
            <w:r>
              <w:rPr>
                <w:b/>
              </w:rPr>
              <w:t>Currency translation adjustments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57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141,403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141,403</w:t>
            </w:r>
          </w:p>
        </w:tc>
        <w:tc>
          <w:tcPr>
            <w:tcW w:w="114" w:type="dxa"/>
            <w:tcBorders/>
            <w:shd w:fill="CCEEFF" w:val="clear"/>
            <w:vAlign w:val="center"/>
          </w:tcPr>
          <w:p>
            <w:pPr>
              <w:pStyle w:val="TableContents"/>
              <w:bidi w:val="0"/>
              <w:spacing w:before="0" w:after="283"/>
              <w:jc w:val="left"/>
              <w:rPr/>
            </w:pPr>
            <w:r>
              <w:rPr/>
              <w:t> </w:t>
            </w:r>
          </w:p>
        </w:tc>
      </w:tr>
      <w:tr>
        <w:trPr/>
        <w:tc>
          <w:tcPr>
            <w:tcW w:w="19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66" w:name="xdx_40E_eus-gaap--NetIncomeLoss_zXWvgvvG"/>
            <w:bookmarkEnd w:id="166"/>
          </w:p>
        </w:tc>
      </w:tr>
      <w:tr>
        <w:trPr/>
        <w:tc>
          <w:tcPr>
            <w:tcW w:w="1931"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79" w:type="dxa"/>
            <w:tcBorders>
              <w:bottom w:val="single" w:sz="8" w:space="0" w:color="000000"/>
            </w:tcBorders>
            <w:shd w:fill="CCEEFF" w:val="clear"/>
            <w:tcMar>
              <w:bottom w:w="28" w:type="dxa"/>
            </w:tcMar>
            <w:vAlign w:val="center"/>
          </w:tcPr>
          <w:p>
            <w:pPr>
              <w:pStyle w:val="TableContents"/>
              <w:bidi w:val="0"/>
              <w:spacing w:before="0" w:after="283"/>
              <w:jc w:val="right"/>
              <w:rPr/>
            </w:pPr>
            <w:r>
              <w:rPr/>
              <w:t>1,831,518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1,831,518</w:t>
            </w:r>
          </w:p>
        </w:tc>
        <w:tc>
          <w:tcPr>
            <w:tcW w:w="114" w:type="dxa"/>
            <w:tcBorders/>
            <w:shd w:fill="CCEEFF" w:val="clear"/>
            <w:vAlign w:val="center"/>
          </w:tcPr>
          <w:p>
            <w:pPr>
              <w:pStyle w:val="TableContents"/>
              <w:bidi w:val="0"/>
              <w:spacing w:before="0" w:after="283"/>
              <w:jc w:val="left"/>
              <w:rPr/>
            </w:pPr>
            <w:r>
              <w:rPr/>
              <w:t> </w:t>
            </w:r>
          </w:p>
        </w:tc>
      </w:tr>
      <w:tr>
        <w:trPr/>
        <w:tc>
          <w:tcPr>
            <w:tcW w:w="193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5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67" w:name="xdx_435_c20250101__20250630_eus-gaap--St"/>
            <w:bookmarkEnd w:id="167"/>
          </w:p>
        </w:tc>
      </w:tr>
      <w:tr>
        <w:trPr/>
        <w:tc>
          <w:tcPr>
            <w:tcW w:w="1931" w:type="dxa"/>
            <w:tcBorders/>
            <w:shd w:fill="CCEEFF" w:val="clear"/>
            <w:vAlign w:val="center"/>
          </w:tcPr>
          <w:p>
            <w:pPr>
              <w:pStyle w:val="TableContents"/>
              <w:bidi w:val="0"/>
              <w:spacing w:before="0" w:after="283"/>
              <w:jc w:val="left"/>
              <w:rPr>
                <w:b/>
              </w:rPr>
            </w:pPr>
            <w:r>
              <w:rPr>
                <w:b/>
              </w:rPr>
              <w:t>BALANCE AT JUNE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8" w:name="xdx_988_eus-gaap--SharesOutstanding_iE_p"/>
            <w:bookmarkEnd w:id="168"/>
          </w:p>
        </w:tc>
        <w:tc>
          <w:tcPr>
            <w:tcW w:w="1100" w:type="dxa"/>
            <w:tcBorders/>
            <w:shd w:fill="CCEEFF" w:val="clear"/>
            <w:vAlign w:val="center"/>
          </w:tcPr>
          <w:p>
            <w:pPr>
              <w:pStyle w:val="TableContents"/>
              <w:bidi w:val="0"/>
              <w:spacing w:before="0" w:after="283"/>
              <w:jc w:val="right"/>
              <w:rPr/>
            </w:pPr>
            <w:r>
              <w:rPr/>
              <w:t>35,160,190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5,832,685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579" w:type="dxa"/>
            <w:tcBorders/>
            <w:shd w:fill="CCEEFF" w:val="clear"/>
            <w:vAlign w:val="center"/>
          </w:tcPr>
          <w:p>
            <w:pPr>
              <w:pStyle w:val="TableContents"/>
              <w:bidi w:val="0"/>
              <w:spacing w:before="0" w:after="283"/>
              <w:jc w:val="right"/>
              <w:rPr/>
            </w:pPr>
            <w:r>
              <w:rPr/>
              <w:t>1,236,343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57" w:type="dxa"/>
            <w:tcBorders/>
            <w:shd w:fill="CCEEFF" w:val="clear"/>
            <w:vAlign w:val="center"/>
          </w:tcPr>
          <w:p>
            <w:pPr>
              <w:pStyle w:val="TableContents"/>
              <w:bidi w:val="0"/>
              <w:spacing w:before="0" w:after="283"/>
              <w:jc w:val="right"/>
              <w:rPr/>
            </w:pPr>
            <w:r>
              <w:rPr/>
              <w:t>90,120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7,162,664</w:t>
            </w:r>
          </w:p>
        </w:tc>
        <w:tc>
          <w:tcPr>
            <w:tcW w:w="114" w:type="dxa"/>
            <w:tcBorders/>
            <w:shd w:fill="CCEEFF" w:val="clear"/>
            <w:vAlign w:val="center"/>
          </w:tcPr>
          <w:p>
            <w:pPr>
              <w:pStyle w:val="TableContents"/>
              <w:bidi w:val="0"/>
              <w:spacing w:before="0" w:after="283"/>
              <w:jc w:val="left"/>
              <w:rPr/>
            </w:pPr>
            <w:r>
              <w:rPr/>
              <w:t> </w:t>
            </w:r>
            <w:bookmarkStart w:id="169" w:name="xdx_43F_c20250101__20250630_eus-gaap--St"/>
            <w:bookmarkEnd w:id="169"/>
          </w:p>
        </w:tc>
      </w:tr>
      <w:tr>
        <w:trPr/>
        <w:tc>
          <w:tcPr>
            <w:tcW w:w="1931" w:type="dxa"/>
            <w:tcBorders/>
            <w:shd w:fill="CCEEFF" w:val="clear"/>
            <w:vAlign w:val="center"/>
          </w:tcPr>
          <w:p>
            <w:pPr>
              <w:pStyle w:val="TableContents"/>
              <w:bidi w:val="0"/>
              <w:spacing w:before="0" w:after="283"/>
              <w:jc w:val="left"/>
              <w:rPr>
                <w:b/>
              </w:rPr>
            </w:pPr>
            <w:r>
              <w:rPr>
                <w:b/>
              </w:rPr>
              <w:t xml:space="preserve">BALANCE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0" w:name="xdx_981_eus-gaap--SharesOutstanding_iE_p"/>
            <w:bookmarkEnd w:id="170"/>
          </w:p>
        </w:tc>
        <w:tc>
          <w:tcPr>
            <w:tcW w:w="1100" w:type="dxa"/>
            <w:tcBorders/>
            <w:shd w:fill="CCEEFF" w:val="clear"/>
            <w:vAlign w:val="center"/>
          </w:tcPr>
          <w:p>
            <w:pPr>
              <w:pStyle w:val="TableContents"/>
              <w:bidi w:val="0"/>
              <w:spacing w:before="0" w:after="283"/>
              <w:jc w:val="right"/>
              <w:rPr/>
            </w:pPr>
            <w:r>
              <w:rPr/>
              <w:t>35,160,190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3,516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5,832,685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w:t>
            </w:r>
          </w:p>
        </w:tc>
        <w:tc>
          <w:tcPr>
            <w:tcW w:w="1579" w:type="dxa"/>
            <w:tcBorders/>
            <w:shd w:fill="CCEEFF" w:val="clear"/>
            <w:vAlign w:val="center"/>
          </w:tcPr>
          <w:p>
            <w:pPr>
              <w:pStyle w:val="TableContents"/>
              <w:bidi w:val="0"/>
              <w:spacing w:before="0" w:after="283"/>
              <w:jc w:val="right"/>
              <w:rPr/>
            </w:pPr>
            <w:r>
              <w:rPr/>
              <w:t>1,236,343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57" w:type="dxa"/>
            <w:tcBorders/>
            <w:shd w:fill="CCEEFF" w:val="clear"/>
            <w:vAlign w:val="center"/>
          </w:tcPr>
          <w:p>
            <w:pPr>
              <w:pStyle w:val="TableContents"/>
              <w:bidi w:val="0"/>
              <w:spacing w:before="0" w:after="283"/>
              <w:jc w:val="right"/>
              <w:rPr/>
            </w:pPr>
            <w:r>
              <w:rPr/>
              <w:t>90,120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7,162,664</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footnotes are an integral part of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Dollars)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 and 2025</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71" w:name="xdx_300_112_z3SazYqua5ph"/>
      <w:bookmarkStart w:id="172" w:name="xdx_300_112_z3SazYqua5ph"/>
      <w:bookmarkEnd w:id="172"/>
    </w:p>
    <w:tbl>
      <w:tblPr>
        <w:tblW w:w="10197" w:type="dxa"/>
        <w:jc w:val="left"/>
        <w:tblInd w:w="0" w:type="dxa"/>
        <w:tblLayout w:type="fixed"/>
        <w:tblCellMar>
          <w:top w:w="0" w:type="dxa"/>
          <w:left w:w="0" w:type="dxa"/>
          <w:bottom w:w="0" w:type="dxa"/>
          <w:right w:w="0" w:type="dxa"/>
        </w:tblCellMar>
      </w:tblPr>
      <w:tblGrid>
        <w:gridCol w:w="7385"/>
        <w:gridCol w:w="60"/>
        <w:gridCol w:w="145"/>
        <w:gridCol w:w="1096"/>
        <w:gridCol w:w="98"/>
        <w:gridCol w:w="62"/>
        <w:gridCol w:w="145"/>
        <w:gridCol w:w="1096"/>
        <w:gridCol w:w="110"/>
      </w:tblGrid>
      <w:tr>
        <w:trPr/>
        <w:tc>
          <w:tcPr>
            <w:tcW w:w="7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3" w:name="xdx_493_20260101__20260630_zLfn9Q6wMxNc"/>
            <w:bookmarkEnd w:id="173"/>
          </w:p>
        </w:tc>
        <w:tc>
          <w:tcPr>
            <w:tcW w:w="1241" w:type="dxa"/>
            <w:gridSpan w:val="2"/>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bookmarkStart w:id="174" w:name="xdx_494_20250101__20250630_zbU82PRJbd4f"/>
            <w:bookmarkEnd w:id="174"/>
          </w:p>
        </w:tc>
        <w:tc>
          <w:tcPr>
            <w:tcW w:w="1241"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42" w:type="dxa"/>
            <w:gridSpan w:val="6"/>
            <w:tcBorders>
              <w:bottom w:val="single" w:sz="8" w:space="0" w:color="000000"/>
            </w:tcBorders>
            <w:tcMar>
              <w:bottom w:w="28" w:type="dxa"/>
            </w:tcMar>
            <w:vAlign w:val="center"/>
          </w:tcPr>
          <w:p>
            <w:pPr>
              <w:pStyle w:val="TableContents"/>
              <w:bidi w:val="0"/>
              <w:spacing w:before="0" w:after="283"/>
              <w:jc w:val="center"/>
              <w:rPr/>
            </w:pPr>
            <w:r>
              <w:rPr/>
              <w:t>Six Months Ended June 30,</w:t>
            </w:r>
          </w:p>
        </w:tc>
        <w:tc>
          <w:tcPr>
            <w:tcW w:w="110" w:type="dxa"/>
            <w:tcBorders/>
            <w:vAlign w:val="center"/>
          </w:tcPr>
          <w:p>
            <w:pPr>
              <w:pStyle w:val="TableContents"/>
              <w:bidi w:val="0"/>
              <w:spacing w:before="0" w:after="283"/>
              <w:jc w:val="left"/>
              <w:rPr/>
            </w:pPr>
            <w:r>
              <w:rPr/>
              <w:t> </w:t>
            </w:r>
          </w:p>
        </w:tc>
      </w:tr>
      <w:tr>
        <w:trPr/>
        <w:tc>
          <w:tcPr>
            <w:tcW w:w="73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7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1" w:type="dxa"/>
            <w:gridSpan w:val="2"/>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41"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75" w:name="xdx_401_eus-gaap--NetCashProvidedByUsedI"/>
            <w:bookmarkEnd w:id="175"/>
          </w:p>
        </w:tc>
      </w:tr>
      <w:tr>
        <w:trPr/>
        <w:tc>
          <w:tcPr>
            <w:tcW w:w="7385" w:type="dxa"/>
            <w:tcBorders/>
            <w:shd w:fill="CCEEFF" w:val="clear"/>
            <w:vAlign w:val="center"/>
          </w:tcPr>
          <w:p>
            <w:pPr>
              <w:pStyle w:val="TableContents"/>
              <w:bidi w:val="0"/>
              <w:spacing w:before="0" w:after="283"/>
              <w:jc w:val="left"/>
              <w:rPr/>
            </w:pPr>
            <w:r>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6" w:name="xdx_407_eus-gaap--NetIncomeLoss_i01_maCz"/>
            <w:bookmarkEnd w:id="176"/>
          </w:p>
        </w:tc>
      </w:tr>
      <w:tr>
        <w:trPr/>
        <w:tc>
          <w:tcPr>
            <w:tcW w:w="7385"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096" w:type="dxa"/>
            <w:tcBorders/>
            <w:shd w:fill="FFFFFF" w:val="clear"/>
            <w:vAlign w:val="center"/>
          </w:tcPr>
          <w:p>
            <w:pPr>
              <w:pStyle w:val="TableContents"/>
              <w:bidi w:val="0"/>
              <w:spacing w:before="0" w:after="283"/>
              <w:jc w:val="right"/>
              <w:rPr/>
            </w:pPr>
            <w:r>
              <w:rPr/>
              <w:t>1,875,167</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096" w:type="dxa"/>
            <w:tcBorders/>
            <w:shd w:fill="FFFFFF" w:val="clear"/>
            <w:vAlign w:val="center"/>
          </w:tcPr>
          <w:p>
            <w:pPr>
              <w:pStyle w:val="TableContents"/>
              <w:bidi w:val="0"/>
              <w:spacing w:before="0" w:after="283"/>
              <w:jc w:val="right"/>
              <w:rPr/>
            </w:pPr>
            <w:r>
              <w:rPr/>
              <w:t>1,831,518</w:t>
            </w:r>
          </w:p>
        </w:tc>
        <w:tc>
          <w:tcPr>
            <w:tcW w:w="110" w:type="dxa"/>
            <w:tcBorders/>
            <w:shd w:fill="FFFFFF" w:val="clear"/>
            <w:vAlign w:val="center"/>
          </w:tcPr>
          <w:p>
            <w:pPr>
              <w:pStyle w:val="TableContents"/>
              <w:bidi w:val="0"/>
              <w:spacing w:before="0" w:after="283"/>
              <w:jc w:val="left"/>
              <w:rPr/>
            </w:pPr>
            <w:r>
              <w:rPr/>
              <w:t> </w:t>
            </w:r>
            <w:bookmarkStart w:id="177" w:name="xdx_405_eus-gaap--AdjustmentsToReconcile"/>
            <w:bookmarkEnd w:id="177"/>
          </w:p>
        </w:tc>
      </w:tr>
      <w:tr>
        <w:trPr/>
        <w:tc>
          <w:tcPr>
            <w:tcW w:w="7385" w:type="dxa"/>
            <w:tcBorders/>
            <w:shd w:fill="CCEEFF" w:val="clear"/>
            <w:vAlign w:val="center"/>
          </w:tcPr>
          <w:p>
            <w:pPr>
              <w:pStyle w:val="TableContents"/>
              <w:bidi w:val="0"/>
              <w:spacing w:before="0" w:after="283"/>
              <w:jc w:val="left"/>
              <w:rPr/>
            </w:pPr>
            <w:r>
              <w:rPr/>
              <w:t>Reconciliation of net income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78" w:name="xdx_40B_eus-gaap--Depreciation_i02_maCzz"/>
            <w:bookmarkEnd w:id="178"/>
          </w:p>
        </w:tc>
      </w:tr>
      <w:tr>
        <w:trPr/>
        <w:tc>
          <w:tcPr>
            <w:tcW w:w="7385" w:type="dxa"/>
            <w:tcBorders/>
            <w:shd w:fill="FFFFFF" w:val="clear"/>
            <w:vAlign w:val="center"/>
          </w:tcPr>
          <w:p>
            <w:pPr>
              <w:pStyle w:val="TableContents"/>
              <w:bidi w:val="0"/>
              <w:spacing w:before="0" w:after="283"/>
              <w:jc w:val="left"/>
              <w:rPr/>
            </w:pPr>
            <w:r>
              <w:rPr/>
              <w:t>Depreciation expenses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24,700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23,517</w:t>
            </w:r>
          </w:p>
        </w:tc>
        <w:tc>
          <w:tcPr>
            <w:tcW w:w="110" w:type="dxa"/>
            <w:tcBorders/>
            <w:shd w:fill="FFFFFF" w:val="clear"/>
            <w:vAlign w:val="center"/>
          </w:tcPr>
          <w:p>
            <w:pPr>
              <w:pStyle w:val="TableContents"/>
              <w:bidi w:val="0"/>
              <w:spacing w:before="0" w:after="283"/>
              <w:jc w:val="left"/>
              <w:rPr/>
            </w:pPr>
            <w:r>
              <w:rPr/>
              <w:t> </w:t>
            </w:r>
            <w:bookmarkStart w:id="179" w:name="xdx_400_eus-gaap--OperatingLeaseRightOfU"/>
            <w:bookmarkEnd w:id="179"/>
          </w:p>
        </w:tc>
      </w:tr>
      <w:tr>
        <w:trPr/>
        <w:tc>
          <w:tcPr>
            <w:tcW w:w="7385" w:type="dxa"/>
            <w:tcBorders/>
            <w:shd w:fill="CCEEFF" w:val="clear"/>
            <w:vAlign w:val="center"/>
          </w:tcPr>
          <w:p>
            <w:pPr>
              <w:pStyle w:val="TableContents"/>
              <w:bidi w:val="0"/>
              <w:spacing w:before="0" w:after="283"/>
              <w:jc w:val="left"/>
              <w:rPr/>
            </w:pPr>
            <w:r>
              <w:rPr/>
              <w:t>Amortization of operating lease right-of-use lease assets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42,575</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122,018</w:t>
            </w:r>
          </w:p>
        </w:tc>
        <w:tc>
          <w:tcPr>
            <w:tcW w:w="110" w:type="dxa"/>
            <w:tcBorders/>
            <w:shd w:fill="CCEEFF" w:val="clear"/>
            <w:vAlign w:val="center"/>
          </w:tcPr>
          <w:p>
            <w:pPr>
              <w:pStyle w:val="TableContents"/>
              <w:bidi w:val="0"/>
              <w:spacing w:before="0" w:after="283"/>
              <w:jc w:val="left"/>
              <w:rPr/>
            </w:pPr>
            <w:r>
              <w:rPr/>
              <w:t> </w:t>
            </w:r>
            <w:bookmarkStart w:id="180" w:name="xdx_40F_ecustom--DeferredTaxAssets_i02N_"/>
            <w:bookmarkEnd w:id="180"/>
          </w:p>
        </w:tc>
      </w:tr>
      <w:tr>
        <w:trPr/>
        <w:tc>
          <w:tcPr>
            <w:tcW w:w="7385" w:type="dxa"/>
            <w:tcBorders/>
            <w:shd w:fill="FFFFFF" w:val="clear"/>
            <w:vAlign w:val="center"/>
          </w:tcPr>
          <w:p>
            <w:pPr>
              <w:pStyle w:val="TableContents"/>
              <w:bidi w:val="0"/>
              <w:spacing w:before="0" w:after="283"/>
              <w:jc w:val="left"/>
              <w:rPr/>
            </w:pPr>
            <w:r>
              <w:rPr/>
              <w:t>Deferred tax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316,875</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546,952</w:t>
            </w:r>
          </w:p>
        </w:tc>
        <w:tc>
          <w:tcPr>
            <w:tcW w:w="110" w:type="dxa"/>
            <w:tcBorders/>
            <w:shd w:fill="FFFFFF" w:val="clear"/>
            <w:vAlign w:val="center"/>
          </w:tcPr>
          <w:p>
            <w:pPr>
              <w:pStyle w:val="TableContents"/>
              <w:bidi w:val="0"/>
              <w:spacing w:before="0" w:after="283"/>
              <w:jc w:val="left"/>
              <w:rPr/>
            </w:pPr>
            <w:r>
              <w:rPr/>
              <w:t> </w:t>
            </w:r>
            <w:bookmarkStart w:id="181" w:name="xdx_404_ecustom--DeferredTaxLiability_i0"/>
            <w:bookmarkEnd w:id="181"/>
          </w:p>
        </w:tc>
      </w:tr>
      <w:tr>
        <w:trPr/>
        <w:tc>
          <w:tcPr>
            <w:tcW w:w="7385"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(17,597</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19,464</w:t>
            </w:r>
          </w:p>
        </w:tc>
        <w:tc>
          <w:tcPr>
            <w:tcW w:w="110" w:type="dxa"/>
            <w:tcBorders/>
            <w:shd w:fill="CCEEFF" w:val="clear"/>
            <w:vAlign w:val="center"/>
          </w:tcPr>
          <w:p>
            <w:pPr>
              <w:pStyle w:val="TableContents"/>
              <w:bidi w:val="0"/>
              <w:spacing w:before="0" w:after="283"/>
              <w:jc w:val="left"/>
              <w:rPr/>
            </w:pPr>
            <w:r>
              <w:rPr/>
              <w:t> </w:t>
            </w:r>
            <w:bookmarkStart w:id="182" w:name="xdx_404_eus-gaap--ShareBasedCompensation"/>
            <w:bookmarkEnd w:id="182"/>
          </w:p>
        </w:tc>
      </w:tr>
      <w:tr>
        <w:trPr/>
        <w:tc>
          <w:tcPr>
            <w:tcW w:w="738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29,999</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30,001</w:t>
            </w:r>
          </w:p>
        </w:tc>
        <w:tc>
          <w:tcPr>
            <w:tcW w:w="110" w:type="dxa"/>
            <w:tcBorders/>
            <w:shd w:fill="FFFFFF" w:val="clear"/>
            <w:vAlign w:val="center"/>
          </w:tcPr>
          <w:p>
            <w:pPr>
              <w:pStyle w:val="TableContents"/>
              <w:bidi w:val="0"/>
              <w:spacing w:before="0" w:after="283"/>
              <w:jc w:val="left"/>
              <w:rPr/>
            </w:pPr>
            <w:r>
              <w:rPr/>
              <w:t> </w:t>
            </w:r>
            <w:bookmarkStart w:id="183" w:name="xdx_40D_eus-gaap--InventoryWriteDown_i02"/>
            <w:bookmarkEnd w:id="183"/>
          </w:p>
        </w:tc>
      </w:tr>
      <w:tr>
        <w:trPr/>
        <w:tc>
          <w:tcPr>
            <w:tcW w:w="7385" w:type="dxa"/>
            <w:tcBorders/>
            <w:shd w:fill="CCEEFF" w:val="clear"/>
            <w:vAlign w:val="center"/>
          </w:tcPr>
          <w:p>
            <w:pPr>
              <w:pStyle w:val="TableContents"/>
              <w:bidi w:val="0"/>
              <w:spacing w:before="0" w:after="283"/>
              <w:jc w:val="left"/>
              <w:rPr/>
            </w:pPr>
            <w:r>
              <w:rPr/>
              <w:t>Inventory allowance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370,981</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416,196</w:t>
            </w:r>
          </w:p>
        </w:tc>
        <w:tc>
          <w:tcPr>
            <w:tcW w:w="110" w:type="dxa"/>
            <w:tcBorders/>
            <w:shd w:fill="CCEEFF" w:val="clear"/>
            <w:vAlign w:val="center"/>
          </w:tcPr>
          <w:p>
            <w:pPr>
              <w:pStyle w:val="TableContents"/>
              <w:bidi w:val="0"/>
              <w:spacing w:before="0" w:after="283"/>
              <w:jc w:val="left"/>
              <w:rPr/>
            </w:pPr>
            <w:r>
              <w:rPr/>
              <w:t> </w:t>
            </w:r>
            <w:bookmarkStart w:id="184" w:name="xdx_409_eus-gaap--ForeignCurrencyTransac"/>
            <w:bookmarkEnd w:id="184"/>
          </w:p>
        </w:tc>
      </w:tr>
      <w:tr>
        <w:trPr/>
        <w:tc>
          <w:tcPr>
            <w:tcW w:w="7385" w:type="dxa"/>
            <w:tcBorders/>
            <w:shd w:fill="FFFFFF" w:val="clear"/>
            <w:vAlign w:val="center"/>
          </w:tcPr>
          <w:p>
            <w:pPr>
              <w:pStyle w:val="TableContents"/>
              <w:bidi w:val="0"/>
              <w:spacing w:before="0" w:after="283"/>
              <w:jc w:val="left"/>
              <w:rPr/>
            </w:pPr>
            <w:r>
              <w:rPr/>
              <w:t>Unrealized foreign exchange gain</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(26,655</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237,028</w:t>
            </w:r>
          </w:p>
        </w:tc>
        <w:tc>
          <w:tcPr>
            <w:tcW w:w="110" w:type="dxa"/>
            <w:tcBorders/>
            <w:shd w:fill="FFFFFF" w:val="clear"/>
            <w:vAlign w:val="center"/>
          </w:tcPr>
          <w:p>
            <w:pPr>
              <w:pStyle w:val="TableContents"/>
              <w:bidi w:val="0"/>
              <w:spacing w:before="0" w:after="283"/>
              <w:jc w:val="left"/>
              <w:rPr/>
            </w:pPr>
            <w:r>
              <w:rPr/>
              <w:t> </w:t>
            </w:r>
            <w:bookmarkStart w:id="185" w:name="xdx_408_eus-gaap--IncreaseDecreaseInOper"/>
            <w:bookmarkEnd w:id="185"/>
          </w:p>
        </w:tc>
      </w:tr>
      <w:tr>
        <w:trPr/>
        <w:tc>
          <w:tcPr>
            <w:tcW w:w="7385"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86" w:name="xdx_401_eus-gaap--IncreaseDecreaseInAcco"/>
            <w:bookmarkEnd w:id="186"/>
          </w:p>
        </w:tc>
      </w:tr>
      <w:tr>
        <w:trPr/>
        <w:tc>
          <w:tcPr>
            <w:tcW w:w="738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(2,470,783</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1,172,592</w:t>
            </w:r>
          </w:p>
        </w:tc>
        <w:tc>
          <w:tcPr>
            <w:tcW w:w="110" w:type="dxa"/>
            <w:tcBorders/>
            <w:shd w:fill="FFFFFF" w:val="clear"/>
            <w:vAlign w:val="center"/>
          </w:tcPr>
          <w:p>
            <w:pPr>
              <w:pStyle w:val="TableContents"/>
              <w:bidi w:val="0"/>
              <w:spacing w:before="0" w:after="283"/>
              <w:jc w:val="left"/>
              <w:rPr/>
            </w:pPr>
            <w:r>
              <w:rPr/>
              <w:t> </w:t>
            </w:r>
            <w:bookmarkStart w:id="187" w:name="xdx_40A_eus-gaap--IncreaseDecreaseInInve"/>
            <w:bookmarkEnd w:id="187"/>
          </w:p>
        </w:tc>
      </w:tr>
      <w:tr>
        <w:trPr/>
        <w:tc>
          <w:tcPr>
            <w:tcW w:w="738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(2,924,333</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(6,716,310</w:t>
            </w:r>
          </w:p>
        </w:tc>
        <w:tc>
          <w:tcPr>
            <w:tcW w:w="110" w:type="dxa"/>
            <w:tcBorders/>
            <w:shd w:fill="CCEEFF" w:val="clear"/>
            <w:vAlign w:val="center"/>
          </w:tcPr>
          <w:p>
            <w:pPr>
              <w:pStyle w:val="TableContents"/>
              <w:bidi w:val="0"/>
              <w:spacing w:before="0" w:after="283"/>
              <w:jc w:val="left"/>
              <w:rPr/>
            </w:pPr>
            <w:r>
              <w:rPr/>
              <w:t>)</w:t>
            </w:r>
            <w:bookmarkStart w:id="188" w:name="xdx_404_eus-gaap--IncreaseDecreaseInPrep"/>
            <w:bookmarkEnd w:id="188"/>
          </w:p>
        </w:tc>
      </w:tr>
      <w:tr>
        <w:trPr/>
        <w:tc>
          <w:tcPr>
            <w:tcW w:w="7385"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(523,884</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(197,393</w:t>
            </w:r>
          </w:p>
        </w:tc>
        <w:tc>
          <w:tcPr>
            <w:tcW w:w="110" w:type="dxa"/>
            <w:tcBorders/>
            <w:shd w:fill="FFFFFF" w:val="clear"/>
            <w:vAlign w:val="center"/>
          </w:tcPr>
          <w:p>
            <w:pPr>
              <w:pStyle w:val="TableContents"/>
              <w:bidi w:val="0"/>
              <w:spacing w:before="0" w:after="283"/>
              <w:jc w:val="left"/>
              <w:rPr/>
            </w:pPr>
            <w:r>
              <w:rPr/>
              <w:t>)</w:t>
            </w:r>
            <w:bookmarkStart w:id="189" w:name="xdx_407_eus-gaap--IncreaseDecreaseInAcco"/>
            <w:bookmarkEnd w:id="189"/>
          </w:p>
        </w:tc>
      </w:tr>
      <w:tr>
        <w:trPr/>
        <w:tc>
          <w:tcPr>
            <w:tcW w:w="738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2,253,843</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4,407,785</w:t>
            </w:r>
          </w:p>
        </w:tc>
        <w:tc>
          <w:tcPr>
            <w:tcW w:w="110" w:type="dxa"/>
            <w:tcBorders/>
            <w:shd w:fill="CCEEFF" w:val="clear"/>
            <w:vAlign w:val="center"/>
          </w:tcPr>
          <w:p>
            <w:pPr>
              <w:pStyle w:val="TableContents"/>
              <w:bidi w:val="0"/>
              <w:spacing w:before="0" w:after="283"/>
              <w:jc w:val="left"/>
              <w:rPr/>
            </w:pPr>
            <w:r>
              <w:rPr/>
              <w:t> </w:t>
            </w:r>
            <w:bookmarkStart w:id="190" w:name="xdx_409_ecustom--IncreaseDecreaseInCredi"/>
            <w:bookmarkEnd w:id="190"/>
          </w:p>
        </w:tc>
      </w:tr>
      <w:tr>
        <w:trPr/>
        <w:tc>
          <w:tcPr>
            <w:tcW w:w="7385" w:type="dxa"/>
            <w:tcBorders/>
            <w:shd w:fill="FFFFFF" w:val="clear"/>
            <w:vAlign w:val="center"/>
          </w:tcPr>
          <w:p>
            <w:pPr>
              <w:pStyle w:val="TableContents"/>
              <w:bidi w:val="0"/>
              <w:spacing w:before="0" w:after="283"/>
              <w:jc w:val="left"/>
              <w:rPr/>
            </w:pPr>
            <w:r>
              <w:rPr/>
              <w:t>Credit cards payable</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(41,601</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(409,341</w:t>
            </w:r>
          </w:p>
        </w:tc>
        <w:tc>
          <w:tcPr>
            <w:tcW w:w="110" w:type="dxa"/>
            <w:tcBorders/>
            <w:shd w:fill="FFFFFF" w:val="clear"/>
            <w:vAlign w:val="center"/>
          </w:tcPr>
          <w:p>
            <w:pPr>
              <w:pStyle w:val="TableContents"/>
              <w:bidi w:val="0"/>
              <w:spacing w:before="0" w:after="283"/>
              <w:jc w:val="left"/>
              <w:rPr/>
            </w:pPr>
            <w:r>
              <w:rPr/>
              <w:t>)</w:t>
            </w:r>
            <w:bookmarkStart w:id="191" w:name="xdx_40C_eus-gaap--IncreaseDecreaseInAccr"/>
            <w:bookmarkEnd w:id="191"/>
          </w:p>
        </w:tc>
      </w:tr>
      <w:tr>
        <w:trPr/>
        <w:tc>
          <w:tcPr>
            <w:tcW w:w="738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(2,543,336</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(2,283,745</w:t>
            </w:r>
          </w:p>
        </w:tc>
        <w:tc>
          <w:tcPr>
            <w:tcW w:w="110" w:type="dxa"/>
            <w:tcBorders/>
            <w:shd w:fill="CCEEFF" w:val="clear"/>
            <w:vAlign w:val="center"/>
          </w:tcPr>
          <w:p>
            <w:pPr>
              <w:pStyle w:val="TableContents"/>
              <w:bidi w:val="0"/>
              <w:spacing w:before="0" w:after="283"/>
              <w:jc w:val="left"/>
              <w:rPr/>
            </w:pPr>
            <w:r>
              <w:rPr/>
              <w:t>)</w:t>
            </w:r>
            <w:bookmarkStart w:id="192" w:name="xdx_406_eus-gaap--IncreaseDecreaseInOper"/>
            <w:bookmarkEnd w:id="192"/>
          </w:p>
        </w:tc>
      </w:tr>
      <w:tr>
        <w:trPr/>
        <w:tc>
          <w:tcPr>
            <w:tcW w:w="7385"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(44,130</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(125,712</w:t>
            </w:r>
          </w:p>
        </w:tc>
        <w:tc>
          <w:tcPr>
            <w:tcW w:w="110" w:type="dxa"/>
            <w:tcBorders/>
            <w:shd w:fill="FFFFFF" w:val="clear"/>
            <w:vAlign w:val="center"/>
          </w:tcPr>
          <w:p>
            <w:pPr>
              <w:pStyle w:val="TableContents"/>
              <w:bidi w:val="0"/>
              <w:spacing w:before="0" w:after="283"/>
              <w:jc w:val="left"/>
              <w:rPr/>
            </w:pPr>
            <w:r>
              <w:rPr/>
              <w:t>)</w:t>
            </w:r>
            <w:bookmarkStart w:id="193" w:name="xdx_40E_eus-gaap--IncreaseDecreaseInAccr"/>
            <w:bookmarkEnd w:id="193"/>
          </w:p>
        </w:tc>
      </w:tr>
      <w:tr>
        <w:trPr/>
        <w:tc>
          <w:tcPr>
            <w:tcW w:w="7385" w:type="dxa"/>
            <w:tcBorders/>
            <w:shd w:fill="CCEEFF" w:val="clear"/>
            <w:vAlign w:val="center"/>
          </w:tcPr>
          <w:p>
            <w:pPr>
              <w:pStyle w:val="TableContents"/>
              <w:bidi w:val="0"/>
              <w:spacing w:before="0" w:after="283"/>
              <w:jc w:val="left"/>
              <w:rPr/>
            </w:pPr>
            <w:r>
              <w:rPr/>
              <w:t>Income taxes payable</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121,615</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94" w:name="xdx_40F_eus-gaap--NetCashProvidedByUsedI"/>
            <w:bookmarkEnd w:id="194"/>
          </w:p>
        </w:tc>
      </w:tr>
      <w:tr>
        <w:trPr/>
        <w:tc>
          <w:tcPr>
            <w:tcW w:w="738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(3,556,564</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(925,430</w:t>
            </w:r>
          </w:p>
        </w:tc>
        <w:tc>
          <w:tcPr>
            <w:tcW w:w="110" w:type="dxa"/>
            <w:tcBorders/>
            <w:shd w:fill="FFFFFF" w:val="clear"/>
            <w:vAlign w:val="center"/>
          </w:tcPr>
          <w:p>
            <w:pPr>
              <w:pStyle w:val="TableContents"/>
              <w:bidi w:val="0"/>
              <w:spacing w:before="0" w:after="283"/>
              <w:jc w:val="left"/>
              <w:rPr/>
            </w:pPr>
            <w:r>
              <w:rPr/>
              <w:t>)</w:t>
            </w:r>
          </w:p>
        </w:tc>
      </w:tr>
      <w:tr>
        <w:trPr/>
        <w:tc>
          <w:tcPr>
            <w:tcW w:w="7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5" w:name="xdx_407_eus-gaap--NetCashProvidedByUsedI"/>
            <w:bookmarkEnd w:id="195"/>
          </w:p>
        </w:tc>
      </w:tr>
      <w:tr>
        <w:trPr/>
        <w:tc>
          <w:tcPr>
            <w:tcW w:w="7385"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6" w:name="xdx_402_eus-gaap--PaymentsToAcquirePrope"/>
            <w:bookmarkEnd w:id="196"/>
          </w:p>
        </w:tc>
      </w:tr>
      <w:tr>
        <w:trPr/>
        <w:tc>
          <w:tcPr>
            <w:tcW w:w="7385"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(5,705</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(801</w:t>
            </w:r>
          </w:p>
        </w:tc>
        <w:tc>
          <w:tcPr>
            <w:tcW w:w="110" w:type="dxa"/>
            <w:tcBorders/>
            <w:shd w:fill="CCEEFF" w:val="clear"/>
            <w:vAlign w:val="center"/>
          </w:tcPr>
          <w:p>
            <w:pPr>
              <w:pStyle w:val="TableContents"/>
              <w:bidi w:val="0"/>
              <w:spacing w:before="0" w:after="283"/>
              <w:jc w:val="left"/>
              <w:rPr/>
            </w:pPr>
            <w:r>
              <w:rPr/>
              <w:t>)</w:t>
            </w:r>
            <w:bookmarkStart w:id="197" w:name="xdx_408_eus-gaap--NetCashProvidedByUsedI"/>
            <w:bookmarkEnd w:id="197"/>
          </w:p>
        </w:tc>
      </w:tr>
      <w:tr>
        <w:trPr/>
        <w:tc>
          <w:tcPr>
            <w:tcW w:w="7385" w:type="dxa"/>
            <w:tcBorders/>
            <w:shd w:fill="FFFFFF" w:val="clear"/>
            <w:vAlign w:val="center"/>
          </w:tcPr>
          <w:p>
            <w:pPr>
              <w:pStyle w:val="TableContents"/>
              <w:bidi w:val="0"/>
              <w:spacing w:before="0" w:after="283"/>
              <w:jc w:val="left"/>
              <w:rPr/>
            </w:pPr>
            <w:r>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(5,705</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(801</w:t>
            </w:r>
          </w:p>
        </w:tc>
        <w:tc>
          <w:tcPr>
            <w:tcW w:w="110" w:type="dxa"/>
            <w:tcBorders/>
            <w:shd w:fill="FFFFFF" w:val="clear"/>
            <w:vAlign w:val="center"/>
          </w:tcPr>
          <w:p>
            <w:pPr>
              <w:pStyle w:val="TableContents"/>
              <w:bidi w:val="0"/>
              <w:spacing w:before="0" w:after="283"/>
              <w:jc w:val="left"/>
              <w:rPr/>
            </w:pPr>
            <w:r>
              <w:rPr/>
              <w:t>)</w:t>
            </w:r>
          </w:p>
        </w:tc>
      </w:tr>
      <w:tr>
        <w:trPr/>
        <w:tc>
          <w:tcPr>
            <w:tcW w:w="73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8" w:name="xdx_400_eus-gaap--NetCashProvidedByUsedI"/>
            <w:bookmarkEnd w:id="198"/>
          </w:p>
        </w:tc>
      </w:tr>
      <w:tr>
        <w:trPr/>
        <w:tc>
          <w:tcPr>
            <w:tcW w:w="7385" w:type="dxa"/>
            <w:tcBorders/>
            <w:shd w:fill="FFFFFF" w:val="clear"/>
            <w:vAlign w:val="center"/>
          </w:tcPr>
          <w:p>
            <w:pPr>
              <w:pStyle w:val="TableContents"/>
              <w:bidi w:val="0"/>
              <w:spacing w:before="0" w:after="283"/>
              <w:jc w:val="left"/>
              <w:rPr/>
            </w:pPr>
            <w:r>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99" w:name="xdx_405_eus-gaap--RepaymentsOfRelatedPar"/>
            <w:bookmarkEnd w:id="199"/>
          </w:p>
        </w:tc>
      </w:tr>
      <w:tr>
        <w:trPr/>
        <w:tc>
          <w:tcPr>
            <w:tcW w:w="7385" w:type="dxa"/>
            <w:tcBorders/>
            <w:shd w:fill="CCEEFF" w:val="clear"/>
            <w:vAlign w:val="center"/>
          </w:tcPr>
          <w:p>
            <w:pPr>
              <w:pStyle w:val="TableContents"/>
              <w:bidi w:val="0"/>
              <w:spacing w:before="0" w:after="283"/>
              <w:jc w:val="left"/>
              <w:rPr/>
            </w:pPr>
            <w:r>
              <w:rPr/>
              <w:t>Payments to related parties</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(884,000</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(839,000</w:t>
            </w:r>
          </w:p>
        </w:tc>
        <w:tc>
          <w:tcPr>
            <w:tcW w:w="110" w:type="dxa"/>
            <w:tcBorders/>
            <w:shd w:fill="CCEEFF" w:val="clear"/>
            <w:vAlign w:val="center"/>
          </w:tcPr>
          <w:p>
            <w:pPr>
              <w:pStyle w:val="TableContents"/>
              <w:bidi w:val="0"/>
              <w:spacing w:before="0" w:after="283"/>
              <w:jc w:val="left"/>
              <w:rPr/>
            </w:pPr>
            <w:r>
              <w:rPr/>
              <w:t>)</w:t>
            </w:r>
            <w:bookmarkStart w:id="200" w:name="xdx_408_eus-gaap--ProceedsFromRelatedPar"/>
            <w:bookmarkEnd w:id="200"/>
          </w:p>
        </w:tc>
      </w:tr>
      <w:tr>
        <w:trPr/>
        <w:tc>
          <w:tcPr>
            <w:tcW w:w="7385" w:type="dxa"/>
            <w:tcBorders/>
            <w:shd w:fill="FFFFFF" w:val="clear"/>
            <w:vAlign w:val="center"/>
          </w:tcPr>
          <w:p>
            <w:pPr>
              <w:pStyle w:val="TableContents"/>
              <w:bidi w:val="0"/>
              <w:spacing w:before="0" w:after="283"/>
              <w:jc w:val="left"/>
              <w:rPr/>
            </w:pPr>
            <w:r>
              <w:rPr/>
              <w:t>Proceeds from related parties</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pPr>
            <w:r>
              <w:rPr/>
              <w:t>1,634,000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1" w:name="xdx_40F_eus-gaap--NetCashProvidedByUsedI"/>
            <w:bookmarkEnd w:id="201"/>
          </w:p>
        </w:tc>
      </w:tr>
      <w:tr>
        <w:trPr/>
        <w:tc>
          <w:tcPr>
            <w:tcW w:w="7385" w:type="dxa"/>
            <w:tcBorders/>
            <w:shd w:fill="CCEEFF" w:val="clear"/>
            <w:vAlign w:val="center"/>
          </w:tcPr>
          <w:p>
            <w:pPr>
              <w:pStyle w:val="TableContents"/>
              <w:bidi w:val="0"/>
              <w:spacing w:before="0" w:after="283"/>
              <w:jc w:val="left"/>
              <w:rPr/>
            </w:pPr>
            <w:r>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750,000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(839,000</w:t>
            </w:r>
          </w:p>
        </w:tc>
        <w:tc>
          <w:tcPr>
            <w:tcW w:w="110" w:type="dxa"/>
            <w:tcBorders/>
            <w:shd w:fill="CCEEFF" w:val="clear"/>
            <w:vAlign w:val="center"/>
          </w:tcPr>
          <w:p>
            <w:pPr>
              <w:pStyle w:val="TableContents"/>
              <w:bidi w:val="0"/>
              <w:spacing w:before="0" w:after="283"/>
              <w:jc w:val="left"/>
              <w:rPr/>
            </w:pPr>
            <w:r>
              <w:rPr/>
              <w:t>)</w:t>
            </w:r>
          </w:p>
        </w:tc>
      </w:tr>
      <w:tr>
        <w:trPr/>
        <w:tc>
          <w:tcPr>
            <w:tcW w:w="7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2" w:name="xdx_405_eus-gaap--EffectOfExchangeRateOn"/>
            <w:bookmarkEnd w:id="202"/>
          </w:p>
        </w:tc>
      </w:tr>
      <w:tr>
        <w:trPr/>
        <w:tc>
          <w:tcPr>
            <w:tcW w:w="7385" w:type="dxa"/>
            <w:tcBorders/>
            <w:shd w:fill="CCEEFF" w:val="clear"/>
            <w:vAlign w:val="center"/>
          </w:tcPr>
          <w:p>
            <w:pPr>
              <w:pStyle w:val="TableContents"/>
              <w:bidi w:val="0"/>
              <w:spacing w:before="0" w:after="283"/>
              <w:jc w:val="left"/>
              <w:rPr/>
            </w:pPr>
            <w:r>
              <w:rPr/>
              <w:t>Effect of changes in foreign currency exchange rates</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5,640</w:t>
            </w:r>
          </w:p>
        </w:tc>
        <w:tc>
          <w:tcPr>
            <w:tcW w:w="98" w:type="dxa"/>
            <w:tcBorders/>
            <w:shd w:fill="CCEEFF" w:val="clear"/>
            <w:vAlign w:val="center"/>
          </w:tcPr>
          <w:p>
            <w:pPr>
              <w:pStyle w:val="TableContents"/>
              <w:bidi w:val="0"/>
              <w:spacing w:before="0" w:after="283"/>
              <w:jc w:val="left"/>
              <w:rPr>
                <w:sz w:val="4"/>
                <w:szCs w:val="4"/>
              </w:rPr>
            </w:pPr>
            <w:r>
              <w:rPr>
                <w:sz w:val="4"/>
                <w:szCs w:val="4"/>
              </w:rPr>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(28,996</w:t>
            </w:r>
          </w:p>
        </w:tc>
        <w:tc>
          <w:tcPr>
            <w:tcW w:w="110" w:type="dxa"/>
            <w:tcBorders/>
            <w:shd w:fill="CCEEFF" w:val="clear"/>
            <w:vAlign w:val="center"/>
          </w:tcPr>
          <w:p>
            <w:pPr>
              <w:pStyle w:val="TableContents"/>
              <w:bidi w:val="0"/>
              <w:spacing w:before="0" w:after="283"/>
              <w:jc w:val="left"/>
              <w:rPr/>
            </w:pPr>
            <w:r>
              <w:rPr/>
              <w:t>)</w:t>
            </w:r>
          </w:p>
        </w:tc>
      </w:tr>
      <w:tr>
        <w:trPr/>
        <w:tc>
          <w:tcPr>
            <w:tcW w:w="7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3" w:name="xdx_407_eus-gaap--CashCashEquivalentsRes"/>
            <w:bookmarkEnd w:id="203"/>
          </w:p>
        </w:tc>
      </w:tr>
      <w:tr>
        <w:trPr/>
        <w:tc>
          <w:tcPr>
            <w:tcW w:w="7385" w:type="dxa"/>
            <w:tcBorders/>
            <w:shd w:fill="CCEEFF" w:val="clear"/>
            <w:vAlign w:val="center"/>
          </w:tcPr>
          <w:p>
            <w:pPr>
              <w:pStyle w:val="TableContents"/>
              <w:bidi w:val="0"/>
              <w:spacing w:before="0" w:after="283"/>
              <w:jc w:val="left"/>
              <w:rPr/>
            </w:pPr>
            <w:r>
              <w:rPr/>
              <w:t>Net change in cash</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(2,806,629</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(1,794,227</w:t>
            </w:r>
          </w:p>
        </w:tc>
        <w:tc>
          <w:tcPr>
            <w:tcW w:w="110" w:type="dxa"/>
            <w:tcBorders/>
            <w:shd w:fill="CCEEFF" w:val="clear"/>
            <w:vAlign w:val="center"/>
          </w:tcPr>
          <w:p>
            <w:pPr>
              <w:pStyle w:val="TableContents"/>
              <w:bidi w:val="0"/>
              <w:spacing w:before="0" w:after="283"/>
              <w:jc w:val="left"/>
              <w:rPr/>
            </w:pPr>
            <w:r>
              <w:rPr/>
              <w:t>)</w:t>
            </w:r>
          </w:p>
        </w:tc>
      </w:tr>
      <w:tr>
        <w:trPr/>
        <w:tc>
          <w:tcPr>
            <w:tcW w:w="7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4" w:name="xdx_408_eus-gaap--CashCashEquivalentsRes"/>
            <w:bookmarkEnd w:id="204"/>
          </w:p>
        </w:tc>
      </w:tr>
      <w:tr>
        <w:trPr/>
        <w:tc>
          <w:tcPr>
            <w:tcW w:w="7385" w:type="dxa"/>
            <w:tcBorders/>
            <w:shd w:fill="CCEEFF" w:val="clear"/>
            <w:vAlign w:val="center"/>
          </w:tcPr>
          <w:p>
            <w:pPr>
              <w:pStyle w:val="TableContents"/>
              <w:bidi w:val="0"/>
              <w:spacing w:before="0" w:after="283"/>
              <w:jc w:val="left"/>
              <w:rPr/>
            </w:pPr>
            <w:r>
              <w:rPr/>
              <w:t>Cash at beginning of period</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3,792,033</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CCEEFF" w:val="clear"/>
            <w:tcMar>
              <w:bottom w:w="28" w:type="dxa"/>
            </w:tcMar>
            <w:vAlign w:val="center"/>
          </w:tcPr>
          <w:p>
            <w:pPr>
              <w:pStyle w:val="TableContents"/>
              <w:bidi w:val="0"/>
              <w:spacing w:before="0" w:after="283"/>
              <w:jc w:val="right"/>
              <w:rPr/>
            </w:pPr>
            <w:r>
              <w:rPr/>
              <w:t>2,119,581</w:t>
            </w:r>
          </w:p>
        </w:tc>
        <w:tc>
          <w:tcPr>
            <w:tcW w:w="110"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5" w:name="xdx_40E_eus-gaap--CashCashEquivalentsRes"/>
            <w:bookmarkEnd w:id="205"/>
          </w:p>
        </w:tc>
      </w:tr>
      <w:tr>
        <w:trPr/>
        <w:tc>
          <w:tcPr>
            <w:tcW w:w="7385" w:type="dxa"/>
            <w:tcBorders/>
            <w:shd w:fill="CCEEFF" w:val="clear"/>
            <w:vAlign w:val="center"/>
          </w:tcPr>
          <w:p>
            <w:pPr>
              <w:pStyle w:val="TableContents"/>
              <w:bidi w:val="0"/>
              <w:spacing w:before="0" w:after="283"/>
              <w:jc w:val="left"/>
              <w:rPr/>
            </w:pPr>
            <w:r>
              <w:rPr/>
              <w:t>Cash at end of period</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6" w:type="dxa"/>
            <w:tcBorders>
              <w:bottom w:val="double" w:sz="6" w:space="0" w:color="000000"/>
            </w:tcBorders>
            <w:shd w:fill="CCEEFF" w:val="clear"/>
            <w:tcMar>
              <w:bottom w:w="28" w:type="dxa"/>
            </w:tcMar>
            <w:vAlign w:val="center"/>
          </w:tcPr>
          <w:p>
            <w:pPr>
              <w:pStyle w:val="TableContents"/>
              <w:bidi w:val="0"/>
              <w:spacing w:before="0" w:after="283"/>
              <w:jc w:val="right"/>
              <w:rPr/>
            </w:pPr>
            <w:r>
              <w:rPr/>
              <w:t>985,404</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6" w:type="dxa"/>
            <w:tcBorders>
              <w:bottom w:val="double" w:sz="6" w:space="0" w:color="000000"/>
            </w:tcBorders>
            <w:shd w:fill="CCEEFF" w:val="clear"/>
            <w:tcMar>
              <w:bottom w:w="28" w:type="dxa"/>
            </w:tcMar>
            <w:vAlign w:val="center"/>
          </w:tcPr>
          <w:p>
            <w:pPr>
              <w:pStyle w:val="TableContents"/>
              <w:bidi w:val="0"/>
              <w:spacing w:before="0" w:after="283"/>
              <w:jc w:val="right"/>
              <w:rPr/>
            </w:pPr>
            <w:r>
              <w:rPr/>
              <w:t>325,354</w:t>
            </w:r>
          </w:p>
        </w:tc>
        <w:tc>
          <w:tcPr>
            <w:tcW w:w="110" w:type="dxa"/>
            <w:tcBorders/>
            <w:shd w:fill="CCEEFF" w:val="clear"/>
            <w:vAlign w:val="center"/>
          </w:tcPr>
          <w:p>
            <w:pPr>
              <w:pStyle w:val="TableContents"/>
              <w:bidi w:val="0"/>
              <w:spacing w:before="0" w:after="283"/>
              <w:jc w:val="left"/>
              <w:rPr/>
            </w:pPr>
            <w:r>
              <w:rPr/>
              <w:t> </w:t>
            </w:r>
          </w:p>
        </w:tc>
      </w:tr>
      <w:tr>
        <w:trPr/>
        <w:tc>
          <w:tcPr>
            <w:tcW w:w="73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6" w:name="xdx_408_eus-gaap--SupplementalCashFlowIn"/>
            <w:bookmarkEnd w:id="206"/>
          </w:p>
        </w:tc>
      </w:tr>
      <w:tr>
        <w:trPr/>
        <w:tc>
          <w:tcPr>
            <w:tcW w:w="7385" w:type="dxa"/>
            <w:tcBorders/>
            <w:shd w:fill="CCEEFF" w:val="clear"/>
            <w:vAlign w:val="center"/>
          </w:tcPr>
          <w:p>
            <w:pPr>
              <w:pStyle w:val="TableContents"/>
              <w:bidi w:val="0"/>
              <w:spacing w:before="0" w:after="283"/>
              <w:jc w:val="left"/>
              <w:rPr/>
            </w:pPr>
            <w:r>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7" w:name="xdx_404_eus-gaap--InterestPaidNet_i01_za"/>
            <w:bookmarkEnd w:id="207"/>
          </w:p>
        </w:tc>
      </w:tr>
      <w:tr>
        <w:trPr/>
        <w:tc>
          <w:tcPr>
            <w:tcW w:w="7385"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096" w:type="dxa"/>
            <w:tcBorders/>
            <w:shd w:fill="FFFFFF" w:val="clear"/>
            <w:vAlign w:val="center"/>
          </w:tcPr>
          <w:p>
            <w:pPr>
              <w:pStyle w:val="TableContents"/>
              <w:bidi w:val="0"/>
              <w:spacing w:before="0" w:after="283"/>
              <w:jc w:val="right"/>
              <w:rPr/>
            </w:pPr>
            <w:r>
              <w:rPr/>
              <w:t>10,743</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w:t>
            </w:r>
          </w:p>
        </w:tc>
        <w:tc>
          <w:tcPr>
            <w:tcW w:w="1096" w:type="dxa"/>
            <w:tcBorders/>
            <w:shd w:fill="FFFFFF" w:val="clear"/>
            <w:vAlign w:val="center"/>
          </w:tcPr>
          <w:p>
            <w:pPr>
              <w:pStyle w:val="TableContents"/>
              <w:bidi w:val="0"/>
              <w:spacing w:before="0" w:after="283"/>
              <w:jc w:val="right"/>
              <w:rPr/>
            </w:pPr>
            <w:r>
              <w:rPr/>
              <w:t>11,095</w:t>
            </w:r>
          </w:p>
        </w:tc>
        <w:tc>
          <w:tcPr>
            <w:tcW w:w="110" w:type="dxa"/>
            <w:tcBorders/>
            <w:shd w:fill="FFFFFF" w:val="clear"/>
            <w:vAlign w:val="center"/>
          </w:tcPr>
          <w:p>
            <w:pPr>
              <w:pStyle w:val="TableContents"/>
              <w:bidi w:val="0"/>
              <w:spacing w:before="0" w:after="283"/>
              <w:jc w:val="left"/>
              <w:rPr/>
            </w:pPr>
            <w:r>
              <w:rPr/>
              <w:t> </w:t>
            </w:r>
            <w:bookmarkStart w:id="208" w:name="xdx_403_eus-gaap--IncomeTaxesPaidNet_i01"/>
            <w:bookmarkEnd w:id="208"/>
          </w:p>
        </w:tc>
      </w:tr>
      <w:tr>
        <w:trPr/>
        <w:tc>
          <w:tcPr>
            <w:tcW w:w="7385" w:type="dxa"/>
            <w:tcBorders/>
            <w:shd w:fill="CCEEFF" w:val="clear"/>
            <w:vAlign w:val="center"/>
          </w:tcPr>
          <w:p>
            <w:pPr>
              <w:pStyle w:val="TableContents"/>
              <w:bidi w:val="0"/>
              <w:spacing w:before="0" w:after="283"/>
              <w:jc w:val="left"/>
              <w:rPr/>
            </w:pPr>
            <w:r>
              <w:rPr/>
              <w:t>Cash paid for income tax</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96" w:type="dxa"/>
            <w:tcBorders/>
            <w:shd w:fill="CCEEFF" w:val="clear"/>
            <w:vAlign w:val="center"/>
          </w:tcPr>
          <w:p>
            <w:pPr>
              <w:pStyle w:val="TableContents"/>
              <w:bidi w:val="0"/>
              <w:spacing w:before="0" w:after="283"/>
              <w:jc w:val="right"/>
              <w:rPr/>
            </w:pPr>
            <w:r>
              <w:rPr/>
              <w:t>397,770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1096" w:type="dxa"/>
            <w:tcBorders/>
            <w:shd w:fill="CCEEFF" w:val="clear"/>
            <w:vAlign w:val="center"/>
          </w:tcPr>
          <w:p>
            <w:pPr>
              <w:pStyle w:val="TableContents"/>
              <w:bidi w:val="0"/>
              <w:spacing w:before="0" w:after="283"/>
              <w:jc w:val="right"/>
              <w:rPr/>
            </w:pPr>
            <w:r>
              <w:rPr/>
              <w:t>52,841</w:t>
            </w:r>
          </w:p>
        </w:tc>
        <w:tc>
          <w:tcPr>
            <w:tcW w:w="110" w:type="dxa"/>
            <w:tcBorders/>
            <w:shd w:fill="CCEEFF" w:val="clear"/>
            <w:vAlign w:val="center"/>
          </w:tcPr>
          <w:p>
            <w:pPr>
              <w:pStyle w:val="TableContents"/>
              <w:bidi w:val="0"/>
              <w:spacing w:before="0" w:after="283"/>
              <w:jc w:val="left"/>
              <w:rPr/>
            </w:pPr>
            <w:r>
              <w:rPr/>
              <w:t> </w:t>
            </w:r>
            <w:bookmarkStart w:id="209" w:name="xdx_407_eus-gaap--NoncashInvestingAndFin"/>
            <w:bookmarkEnd w:id="209"/>
          </w:p>
        </w:tc>
      </w:tr>
      <w:tr>
        <w:trPr/>
        <w:tc>
          <w:tcPr>
            <w:tcW w:w="7385" w:type="dxa"/>
            <w:tcBorders/>
            <w:shd w:fill="FFFFFF" w:val="clear"/>
            <w:vAlign w:val="center"/>
          </w:tcPr>
          <w:p>
            <w:pPr>
              <w:pStyle w:val="TableContents"/>
              <w:bidi w:val="0"/>
              <w:spacing w:before="0" w:after="283"/>
              <w:jc w:val="left"/>
              <w:rPr/>
            </w:pPr>
            <w:r>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0" w:name="xdx_408_ecustom--RightofuseOfAssetAndOpe"/>
            <w:bookmarkEnd w:id="210"/>
          </w:p>
        </w:tc>
      </w:tr>
      <w:tr>
        <w:trPr/>
        <w:tc>
          <w:tcPr>
            <w:tcW w:w="7385" w:type="dxa"/>
            <w:tcBorders/>
            <w:shd w:fill="CCEEFF" w:val="clear"/>
            <w:vAlign w:val="center"/>
          </w:tcPr>
          <w:p>
            <w:pPr>
              <w:pStyle w:val="TableContents"/>
              <w:bidi w:val="0"/>
              <w:spacing w:before="0" w:after="283"/>
              <w:jc w:val="left"/>
              <w:rPr/>
            </w:pPr>
            <w:r>
              <w:rPr/>
              <w:t>Operating lease right-of-use of assets and operating lease liabilities recognized</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134,648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accompanying footnotes are an integral part of these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1" w:name="xdx_80C_eus-gaap--OrganizationConsolidat"/>
      <w:bookmarkEnd w:id="211"/>
      <w:r>
        <w:rPr>
          <w:rFonts w:ascii="Times New Roman;Times;Serif" w:hAnsi="Times New Roman;Times;Serif"/>
          <w:b/>
          <w:i w:val="false"/>
          <w:caps w:val="false"/>
          <w:smallCaps w:val="false"/>
          <w:sz w:val="20"/>
        </w:rPr>
        <w:t xml:space="preserve">NOTE 1 - </w:t>
      </w:r>
      <w:bookmarkStart w:id="212" w:name="xdx_829_zcm2aSX0L4Q1"/>
      <w:bookmarkEnd w:id="212"/>
      <w:r>
        <w:rPr>
          <w:rFonts w:ascii="Times New Roman;Times;Serif" w:hAnsi="Times New Roman;Times;Serif"/>
          <w:b/>
          <w:i w:val="false"/>
          <w:caps w:val="false"/>
          <w:smallCaps w:val="false"/>
          <w:sz w:val="20"/>
        </w:rPr>
        <w:t>Nature of Operations and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Hour Loop, Inc. (“Hour Loop” or the “Company”) is a technology-enabled consumer products company that uses machine learning and data analytics to design, develop, market and sell products. Hour Loop predominantly operates through online retail channels such as Amazon, Walmart, and </w:t>
      </w:r>
      <w:r>
        <w:rPr>
          <w:rFonts w:ascii="Times New Roman;Times;Serif" w:hAnsi="Times New Roman;Times;Serif"/>
          <w:b w:val="false"/>
          <w:i/>
          <w:caps w:val="false"/>
          <w:smallCaps w:val="false"/>
          <w:sz w:val="20"/>
        </w:rPr>
        <w:t>Hourloop.com</w:t>
      </w:r>
      <w:r>
        <w:rPr>
          <w:rFonts w:ascii="Times New Roman;Times;Serif" w:hAnsi="Times New Roman;Times;Serif"/>
          <w:b w:val="false"/>
          <w:i w:val="false"/>
          <w:caps w:val="false"/>
          <w:smallCaps w:val="false"/>
          <w:sz w:val="20"/>
        </w:rPr>
        <w:t xml:space="preserve">. The Company, as an Internet marketplace seller, sells products in multiple categories, including home/garden décor, toys, kitchenware, apparel, and electronics. The Company has only </w:t>
      </w:r>
      <w:bookmarkStart w:id="213" w:name="xdx_907_eus-gaap--NumberOfOperatingSegme"/>
      <w:bookmarkEnd w:id="213"/>
      <w:r>
        <w:rPr>
          <w:rFonts w:ascii="Times New Roman;Times;Serif" w:hAnsi="Times New Roman;Times;Serif"/>
          <w:b w:val="false"/>
          <w:i w:val="false"/>
          <w:caps w:val="false"/>
          <w:smallCaps w:val="false"/>
          <w:sz w:val="20"/>
        </w:rPr>
        <w:t>one segment, which is online retail (e-commerce).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on January 13, 2015 under the laws of the state of Washington. On April 7, 2021, the Company was converted from a Washington corporation to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2019, Hour Loop formed Flywheel Consulting Ltd. (“Flywheel”), a wholly owned subsidiary located in Taiwan, to provide business operating consulting services exclusively to Hour Loop.</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214" w:name="xdx_864_zNXB36dYXUgc"/>
      <w:bookmarkStart w:id="215" w:name="xdx_84A_eus-gaap--BasisOfAccountingPolic"/>
      <w:bookmarkEnd w:id="214"/>
      <w:bookmarkEnd w:id="215"/>
      <w:r>
        <w:rPr>
          <w:rFonts w:ascii="Times New Roman;Times;Serif" w:hAnsi="Times New Roman;Times;Serif"/>
          <w:b/>
          <w:i w:val="false"/>
          <w:caps w:val="false"/>
          <w:smallCaps w:val="false"/>
          <w:sz w:val="20"/>
        </w:rPr>
        <w:t>Basis of Presentation</w:t>
      </w:r>
      <w:r>
        <w:rPr>
          <w:rFonts w:ascii="Times New Roman;Times;Serif" w:hAnsi="Times New Roman;Times;Serif"/>
          <w:b w:val="false"/>
          <w:i w:val="false"/>
          <w:caps w:val="false"/>
          <w:smallCaps w:val="false"/>
          <w:sz w:val="20"/>
        </w:rPr>
        <w:t xml:space="preserve"> - These unaudited consolidated financial statements have been prepared in accordance with rules and regulations of the Securities and Exchange Commission (“SEC”) and accounting principles generally accepted in the United States of America (“U.S. GAAP”) for interim financial information and with the instructions to Form 10-Q and Regulation S-X. Accordingly, the unaudited consolidated financial statements do not include all of the information and footnotes required by U.S. GAAP for complete financial statements. In the opinion of management, the Company has included all adjustments considered necessary for a fair presentation and such adjustments are of a normal recurring nature. These unaudited consolidated financial statements should be read in conjunction with the consolidated financial statements for the year ended December 31, 2025 and notes thereto and other pertinent information contained in the Company’s Annual Report on Form 10-K as filed with the SEC on March 24,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216" w:name="xdx_869_zOMBJzF7WR5l"/>
      <w:bookmarkStart w:id="217" w:name="xdx_84B_eus-gaap--ConsolidationPolicyTex"/>
      <w:bookmarkEnd w:id="216"/>
      <w:bookmarkEnd w:id="217"/>
      <w:r>
        <w:rPr>
          <w:rFonts w:ascii="Times New Roman;Times;Serif" w:hAnsi="Times New Roman;Times;Serif"/>
          <w:b/>
          <w:i w:val="false"/>
          <w:caps w:val="false"/>
          <w:smallCaps w:val="false"/>
          <w:sz w:val="20"/>
        </w:rPr>
        <w:t>Principles of Consolidation</w:t>
      </w:r>
      <w:r>
        <w:rPr>
          <w:rFonts w:ascii="Times New Roman;Times;Serif" w:hAnsi="Times New Roman;Times;Serif"/>
          <w:b w:val="false"/>
          <w:i w:val="false"/>
          <w:caps w:val="false"/>
          <w:smallCaps w:val="false"/>
          <w:sz w:val="20"/>
        </w:rPr>
        <w:t xml:space="preserve"> - The unaudited consolidated financial statements include the accounts of Hour Loop and Flywheel. All material inter-company accounts and transactions were eliminated in consolidation.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18" w:name="xdx_860_zy2i09Vzekri"/>
      <w:bookmarkStart w:id="219" w:name="xdx_84D_eus-gaap--ForeignCurrencyTransac"/>
      <w:bookmarkEnd w:id="218"/>
      <w:bookmarkEnd w:id="219"/>
      <w:r>
        <w:rPr>
          <w:rFonts w:ascii="Times New Roman;Times;Serif" w:hAnsi="Times New Roman;Times;Serif"/>
          <w:b/>
          <w:i w:val="false"/>
          <w:caps w:val="false"/>
          <w:smallCaps w:val="false"/>
          <w:sz w:val="20"/>
        </w:rPr>
        <w:t>Foreign Currency and Currency Translation</w:t>
      </w:r>
      <w:r>
        <w:rPr>
          <w:rFonts w:ascii="Times New Roman;Times;Serif" w:hAnsi="Times New Roman;Times;Serif"/>
          <w:b w:val="false"/>
          <w:i w:val="false"/>
          <w:caps w:val="false"/>
          <w:smallCaps w:val="false"/>
          <w:sz w:val="20"/>
        </w:rPr>
        <w:t xml:space="preserve"> - The assets and liabilities of Flywheel, having a functional currency other than the U.S. dollar, are translated into U.S. dollars at exchange rates in effect at period-end, with resulting translation gains or losses included within other comprehensive income or loss. Revenues and expenses are translated into U.S. dollars at average monthly rates of exchange in effect during each period. All of the Company’s foreign operations use their local currency as their functional currency. Currency gains or losses resulting from transactions executed in currencies other than the functional currency are included in General and administrative in the consolidated statement of operations and other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220" w:name="xdx_89F_eus-gaap--ScheduleOfForeignExcha"/>
      <w:bookmarkEnd w:id="220"/>
      <w:r>
        <w:rPr>
          <w:rFonts w:ascii="Times New Roman;Times;Serif" w:hAnsi="Times New Roman;Times;Serif"/>
          <w:b w:val="false"/>
          <w:i w:val="false"/>
          <w:caps w:val="false"/>
          <w:smallCaps w:val="false"/>
          <w:sz w:val="20"/>
        </w:rPr>
        <w:t>The relevant exchange rates are listed below:</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221" w:name="xdx_8BD_zHNfxm2mWdnf"/>
      <w:bookmarkEnd w:id="221"/>
      <w:r>
        <w:rPr>
          <w:rFonts w:ascii="Times New Roman;Times;Serif" w:hAnsi="Times New Roman;Times;Serif"/>
          <w:b w:val="false"/>
          <w:i w:val="false"/>
          <w:caps w:val="false"/>
          <w:smallCaps w:val="false"/>
          <w:sz w:val="20"/>
        </w:rPr>
        <w:t>Schedule of Foreign Currency Exchange Rates </w:t>
      </w:r>
    </w:p>
    <w:tbl>
      <w:tblPr>
        <w:tblW w:w="7607" w:type="dxa"/>
        <w:jc w:val="left"/>
        <w:tblInd w:w="0" w:type="dxa"/>
        <w:tblLayout w:type="fixed"/>
        <w:tblCellMar>
          <w:top w:w="0" w:type="dxa"/>
          <w:left w:w="0" w:type="dxa"/>
          <w:bottom w:w="0" w:type="dxa"/>
          <w:right w:w="0" w:type="dxa"/>
        </w:tblCellMar>
      </w:tblPr>
      <w:tblGrid>
        <w:gridCol w:w="4070"/>
        <w:gridCol w:w="60"/>
        <w:gridCol w:w="149"/>
        <w:gridCol w:w="725"/>
        <w:gridCol w:w="60"/>
        <w:gridCol w:w="60"/>
        <w:gridCol w:w="240"/>
        <w:gridCol w:w="1174"/>
        <w:gridCol w:w="60"/>
        <w:gridCol w:w="60"/>
        <w:gridCol w:w="149"/>
        <w:gridCol w:w="725"/>
        <w:gridCol w:w="75"/>
      </w:tblGrid>
      <w:tr>
        <w:trPr/>
        <w:tc>
          <w:tcPr>
            <w:tcW w:w="4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June 30, </w:t>
              <w:br/>
              <w:t>2025</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pPr>
            <w:r>
              <w:rPr/>
              <w:t>Period NTD: USD exchange rate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bookmarkStart w:id="222" w:name="xdx_98E_eus-gaap--ForeignCurrencyExchang"/>
            <w:bookmarkEnd w:id="222"/>
          </w:p>
        </w:tc>
        <w:tc>
          <w:tcPr>
            <w:tcW w:w="725" w:type="dxa"/>
            <w:tcBorders/>
            <w:shd w:fill="CCEEFF" w:val="clear"/>
            <w:vAlign w:val="center"/>
          </w:tcPr>
          <w:p>
            <w:pPr>
              <w:pStyle w:val="TableContents"/>
              <w:bidi w:val="0"/>
              <w:spacing w:before="0" w:after="283"/>
              <w:jc w:val="right"/>
              <w:rPr/>
            </w:pPr>
            <w:r>
              <w:rPr/>
              <w:t>31.800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bookmarkStart w:id="223" w:name="xdx_986_eus-gaap--ForeignCurrencyExchang"/>
            <w:bookmarkEnd w:id="223"/>
          </w:p>
        </w:tc>
        <w:tc>
          <w:tcPr>
            <w:tcW w:w="1174" w:type="dxa"/>
            <w:tcBorders/>
            <w:shd w:fill="CCEEFF" w:val="clear"/>
            <w:vAlign w:val="center"/>
          </w:tcPr>
          <w:p>
            <w:pPr>
              <w:pStyle w:val="TableContents"/>
              <w:bidi w:val="0"/>
              <w:spacing w:before="0" w:after="283"/>
              <w:jc w:val="right"/>
              <w:rPr/>
            </w:pPr>
            <w:r>
              <w:rPr/>
              <w:t>31.380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bookmarkStart w:id="224" w:name="xdx_980_eus-gaap--ForeignCurrencyExchang"/>
            <w:bookmarkEnd w:id="224"/>
          </w:p>
        </w:tc>
        <w:tc>
          <w:tcPr>
            <w:tcW w:w="725" w:type="dxa"/>
            <w:tcBorders/>
            <w:shd w:fill="CCEEFF" w:val="clear"/>
            <w:vAlign w:val="center"/>
          </w:tcPr>
          <w:p>
            <w:pPr>
              <w:pStyle w:val="TableContents"/>
              <w:bidi w:val="0"/>
              <w:spacing w:before="0" w:after="283"/>
              <w:jc w:val="right"/>
              <w:rPr/>
            </w:pPr>
            <w:r>
              <w:rPr/>
              <w:t>29.250</w:t>
            </w:r>
          </w:p>
        </w:tc>
        <w:tc>
          <w:tcPr>
            <w:tcW w:w="75"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Period Average NTD: USD exchange rate</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bookmarkStart w:id="225" w:name="xdx_987_eus-gaap--ForeignCurrencyExchang"/>
            <w:bookmarkEnd w:id="225"/>
          </w:p>
        </w:tc>
        <w:tc>
          <w:tcPr>
            <w:tcW w:w="725" w:type="dxa"/>
            <w:tcBorders/>
            <w:shd w:fill="FFFFFF" w:val="clear"/>
            <w:vAlign w:val="center"/>
          </w:tcPr>
          <w:p>
            <w:pPr>
              <w:pStyle w:val="TableContents"/>
              <w:bidi w:val="0"/>
              <w:spacing w:before="0" w:after="283"/>
              <w:jc w:val="right"/>
              <w:rPr/>
            </w:pPr>
            <w:r>
              <w:rPr/>
              <w:t>31.573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w:t>
            </w:r>
            <w:bookmarkStart w:id="226" w:name="xdx_98E_eus-gaap--ForeignCurrencyExchang"/>
            <w:bookmarkEnd w:id="226"/>
          </w:p>
        </w:tc>
        <w:tc>
          <w:tcPr>
            <w:tcW w:w="1174" w:type="dxa"/>
            <w:tcBorders/>
            <w:shd w:fill="FFFFFF" w:val="clear"/>
            <w:vAlign w:val="center"/>
          </w:tcPr>
          <w:p>
            <w:pPr>
              <w:pStyle w:val="TableContents"/>
              <w:bidi w:val="0"/>
              <w:spacing w:before="0" w:after="283"/>
              <w:jc w:val="right"/>
              <w:rPr/>
            </w:pPr>
            <w:r>
              <w:rPr/>
              <w:t>31.330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w:t>
            </w:r>
            <w:bookmarkStart w:id="227" w:name="xdx_981_eus-gaap--ForeignCurrencyExchang"/>
            <w:bookmarkEnd w:id="227"/>
          </w:p>
        </w:tc>
        <w:tc>
          <w:tcPr>
            <w:tcW w:w="725" w:type="dxa"/>
            <w:tcBorders/>
            <w:shd w:fill="FFFFFF" w:val="clear"/>
            <w:vAlign w:val="center"/>
          </w:tcPr>
          <w:p>
            <w:pPr>
              <w:pStyle w:val="TableContents"/>
              <w:bidi w:val="0"/>
              <w:spacing w:before="0" w:after="283"/>
              <w:jc w:val="right"/>
              <w:rPr/>
            </w:pPr>
            <w:r>
              <w:rPr/>
              <w:t>29.603</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bookmarkStart w:id="228" w:name="xdx_8A9_zqkXgHE0U3Y4"/>
      <w:bookmarkEnd w:id="22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29" w:name="xdx_866_zOBkbN5qa2bd"/>
      <w:bookmarkStart w:id="230" w:name="xdx_847_eus-gaap--UseOfEstimates_zGCQesB"/>
      <w:bookmarkEnd w:id="229"/>
      <w:bookmarkEnd w:id="230"/>
      <w:r>
        <w:rPr>
          <w:rFonts w:ascii="Times New Roman;Times;Serif" w:hAnsi="Times New Roman;Times;Serif"/>
          <w:b/>
          <w:i w:val="false"/>
          <w:caps w:val="false"/>
          <w:smallCaps w:val="false"/>
          <w:sz w:val="20"/>
        </w:rPr>
        <w:t>Use of Estimates</w:t>
      </w:r>
      <w:r>
        <w:rPr>
          <w:rFonts w:ascii="Times New Roman;Times;Serif" w:hAnsi="Times New Roman;Times;Serif"/>
          <w:b w:val="false"/>
          <w:i w:val="false"/>
          <w:caps w:val="false"/>
          <w:smallCaps w:val="false"/>
          <w:sz w:val="20"/>
        </w:rPr>
        <w:t xml:space="preserve"> - 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these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estimates include, but are not limited to, estimates associated with the collectability of accounts receivable, useful life of property and equipment, impairment of long-lived assets, valuation allowance for deferred tax assets, inventory valuation and inventory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31" w:name="xdx_86B_zskztX0BL9S7"/>
      <w:bookmarkStart w:id="232" w:name="xdx_845_eus-gaap--CashAndCashEquivalents"/>
      <w:bookmarkEnd w:id="231"/>
      <w:bookmarkEnd w:id="232"/>
      <w:r>
        <w:rPr>
          <w:rFonts w:ascii="Times New Roman;Times;Serif" w:hAnsi="Times New Roman;Times;Serif"/>
          <w:b/>
          <w:i w:val="false"/>
          <w:caps w:val="false"/>
          <w:smallCaps w:val="false"/>
          <w:sz w:val="20"/>
        </w:rPr>
        <w:t>Cash and Cash Equivalents</w:t>
      </w:r>
      <w:r>
        <w:rPr>
          <w:rFonts w:ascii="Times New Roman;Times;Serif" w:hAnsi="Times New Roman;Times;Serif"/>
          <w:b w:val="false"/>
          <w:i w:val="false"/>
          <w:caps w:val="false"/>
          <w:smallCaps w:val="false"/>
          <w:sz w:val="20"/>
        </w:rPr>
        <w:t xml:space="preserve"> - The Company considers all highly liquid financial instruments purchased with original maturities of three months or less to be cash. The Company’s cash is held in the bank and covered by the Federal Deposit Insurance Corporation (“FDIC”), subject to applicable limits. Deposits are insured up to $</w:t>
      </w:r>
      <w:bookmarkStart w:id="233" w:name="xdx_90F_eus-gaap--CashFDICInsuredAmount_"/>
      <w:bookmarkEnd w:id="233"/>
      <w:r>
        <w:rPr>
          <w:rFonts w:ascii="Times New Roman;Times;Serif" w:hAnsi="Times New Roman;Times;Serif"/>
          <w:b w:val="false"/>
          <w:i w:val="false"/>
          <w:caps w:val="false"/>
          <w:smallCaps w:val="false"/>
          <w:sz w:val="20"/>
        </w:rPr>
        <w:t>250,000 per depositor, per FDIC-insured bank, per ownership category. Cash equivalents and marketable securities are comprised of time deposits, money market funds, highly liquid government bonds, corporate debt securities, mortgage-backed and asset-backed securities, and marketable equity securities. The Company’s cash and cash equivalents primarily consisted of cash and money market funds. Such amounts are recorded at fair value.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34" w:name="xdx_860_zbcKn4VaWOt9"/>
      <w:bookmarkStart w:id="235" w:name="xdx_84D_eus-gaap--TradeAndOtherAccountsR"/>
      <w:bookmarkEnd w:id="234"/>
      <w:bookmarkEnd w:id="235"/>
      <w:r>
        <w:rPr>
          <w:rFonts w:ascii="Times New Roman;Times;Serif" w:hAnsi="Times New Roman;Times;Serif"/>
          <w:b/>
          <w:i w:val="false"/>
          <w:caps w:val="false"/>
          <w:smallCaps w:val="false"/>
          <w:sz w:val="20"/>
        </w:rPr>
        <w:t>Accounts Receivable and Allowance for Credit Losses</w:t>
      </w:r>
      <w:r>
        <w:rPr>
          <w:rFonts w:ascii="Times New Roman;Times;Serif" w:hAnsi="Times New Roman;Times;Serif"/>
          <w:b w:val="false"/>
          <w:i w:val="false"/>
          <w:caps w:val="false"/>
          <w:smallCaps w:val="false"/>
          <w:sz w:val="20"/>
        </w:rPr>
        <w:t xml:space="preserve"> - Accounts receivable are stated at historical cost less allowance for credit loss. On a periodic basis, management evaluates its accounts receivable and determines whether to provide an allowance for credit losses in accordance with the Financial Accounting Standards Board’s (“FASB”) Accounting Standards Codification (“ASC”) Topic 326. Credit losses are provided based on a past history of write-offs, collections, current credit conditions, current economic conditions, reasonable and supportable forecasts of future economic conditions. The evaluation is performed on a collective basis where similar characteristics exist, primarily based on similar services or products offerings. The Company adopted the standard effective January 1, 2023. The impact of the adoption was not considered material to the financial statements and primarily resulted in new/enhanced disclosures only. A receivable is considered past due if the Company has not received payments based on agreed-upon terms. The Company generally does not require any security or collateral to support its receivables. The collection is primarily through Amazon and the collection period is usually less than seven days. The Company performs on-going evaluations of its customers and maintains an allowance for credit losses as the Company deems necessary or appropriate. As of June 30, 2026 and December 31, 2025, the Company did not deem it necessary to have an allowance for credit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36" w:name="xdx_867_zOcWrd39n5a9"/>
      <w:bookmarkStart w:id="237" w:name="xdx_843_eus-gaap--InventoryPolicyTextBlo"/>
      <w:bookmarkEnd w:id="236"/>
      <w:bookmarkEnd w:id="237"/>
      <w:r>
        <w:rPr>
          <w:rFonts w:ascii="Times New Roman;Times;Serif" w:hAnsi="Times New Roman;Times;Serif"/>
          <w:b/>
          <w:i w:val="false"/>
          <w:caps w:val="false"/>
          <w:smallCaps w:val="false"/>
          <w:sz w:val="20"/>
        </w:rPr>
        <w:t>Inventory and Cost of Goods Sold</w:t>
      </w:r>
      <w:r>
        <w:rPr>
          <w:rFonts w:ascii="Times New Roman;Times;Serif" w:hAnsi="Times New Roman;Times;Serif"/>
          <w:b w:val="false"/>
          <w:i w:val="false"/>
          <w:caps w:val="false"/>
          <w:smallCaps w:val="false"/>
          <w:sz w:val="20"/>
        </w:rPr>
        <w:t xml:space="preserve"> - The Company’s inventory consists mainly of finished goods. Inventories are stated at the lower of cost or net realizable value. Cost is principally determined on a first-in-first-out basis. The Company’s costs include the amounts it pays manufacturers for product, tariffs and duties associated with transporting product across national borders, and freight costs associated with transporting the product from its manufacturers to its warehouses, as applicable. The merchandise with terms of FOB shipping point from vendors was recorded as the inventory-in-transit when inventory left the shipping dock of the vendors but not yet reached the receiving dock of the Company. Management continually evaluates its estimates and judgments including those related to merchandise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revenues” line item in the unaudited consolidated statements of operations is principally inventory sold to customers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Policy for inventory allowance: The Company writes down the cost of obsolete and slow-moving inventories to the estimated net realizable value, based on inventory obsolescence trends, historical experience, forecasted consumer demand and application of the specific identification method. As of June 30, 2026 and December 31, 2025, $</w:t>
      </w:r>
      <w:bookmarkStart w:id="238" w:name="xdx_90C_eus-gaap--InventoryWriteDown_c20"/>
      <w:bookmarkEnd w:id="238"/>
      <w:r>
        <w:rPr>
          <w:rFonts w:ascii="Times New Roman;Times;Serif" w:hAnsi="Times New Roman;Times;Serif"/>
          <w:b w:val="false"/>
          <w:i w:val="false"/>
          <w:caps w:val="false"/>
          <w:smallCaps w:val="false"/>
          <w:sz w:val="20"/>
        </w:rPr>
        <w:t>370,981 and $</w:t>
      </w:r>
      <w:bookmarkStart w:id="239" w:name="xdx_908_eus-gaap--InventoryWriteDown_c20"/>
      <w:bookmarkEnd w:id="239"/>
      <w:r>
        <w:rPr>
          <w:rFonts w:ascii="Times New Roman;Times;Serif" w:hAnsi="Times New Roman;Times;Serif"/>
          <w:b w:val="false"/>
          <w:i w:val="false"/>
          <w:caps w:val="false"/>
          <w:smallCaps w:val="false"/>
          <w:sz w:val="20"/>
        </w:rPr>
        <w:t>447,841, respectively, were written down from the cost of inventories to their net realizable values. Full inventory allowance is recorded for the inventory stock-keeping unit (“SKU”) not sold for more than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0" w:name="xdx_869_zlzc86yArMWi"/>
      <w:bookmarkStart w:id="241" w:name="xdx_84D_eus-gaap--PropertyPlantAndEquipm"/>
      <w:bookmarkEnd w:id="240"/>
      <w:bookmarkEnd w:id="241"/>
      <w:r>
        <w:rPr>
          <w:rFonts w:ascii="Times New Roman;Times;Serif" w:hAnsi="Times New Roman;Times;Serif"/>
          <w:b/>
          <w:i w:val="false"/>
          <w:caps w:val="false"/>
          <w:smallCaps w:val="false"/>
          <w:sz w:val="20"/>
        </w:rPr>
        <w:t>Property and Equipment</w:t>
      </w:r>
      <w:r>
        <w:rPr>
          <w:rFonts w:ascii="Times New Roman;Times;Serif" w:hAnsi="Times New Roman;Times;Serif"/>
          <w:b w:val="false"/>
          <w:i w:val="false"/>
          <w:caps w:val="false"/>
          <w:smallCaps w:val="false"/>
          <w:sz w:val="20"/>
        </w:rPr>
        <w:t xml:space="preserve"> - Property and equipment are recorded at cost and depreciated or amortized over the estimated useful life of the asset using the straight-line method. The Company elected to expense any individual property and equipment items under $</w:t>
      </w:r>
      <w:bookmarkStart w:id="242" w:name="xdx_904_eus-gaap--CostOfPropertyRepairsA"/>
      <w:bookmarkEnd w:id="242"/>
      <w:r>
        <w:rPr>
          <w:rFonts w:ascii="Times New Roman;Times;Serif" w:hAnsi="Times New Roman;Times;Serif"/>
          <w:b w:val="false"/>
          <w:i w:val="false"/>
          <w:caps w:val="false"/>
          <w:smallCaps w:val="false"/>
          <w:sz w:val="20"/>
        </w:rPr>
        <w:t>2,500.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the Company’s property and equipment is computers, and the estimated useful life is</w:t>
      </w:r>
      <w:bookmarkStart w:id="243" w:name="xdx_907_eus-gaap--PropertyPlantAndEquipm"/>
      <w:bookmarkEnd w:id="243"/>
      <w:r>
        <w:rPr>
          <w:rFonts w:ascii="Times New Roman;Times;Serif" w:hAnsi="Times New Roman;Times;Serif"/>
          <w:b w:val="false"/>
          <w:i w:val="false"/>
          <w:caps w:val="false"/>
          <w:smallCaps w:val="false"/>
          <w:sz w:val="20"/>
        </w:rPr>
        <w:t xml:space="preserve">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4" w:name="xdx_86B_zwZ2jFPCDpqe"/>
      <w:bookmarkStart w:id="245" w:name="xdx_843_eus-gaap--ImpairmentOrDisposalOf"/>
      <w:bookmarkEnd w:id="244"/>
      <w:bookmarkEnd w:id="245"/>
      <w:r>
        <w:rPr>
          <w:rFonts w:ascii="Times New Roman;Times;Serif" w:hAnsi="Times New Roman;Times;Serif"/>
          <w:b/>
          <w:i w:val="false"/>
          <w:caps w:val="false"/>
          <w:smallCaps w:val="false"/>
          <w:sz w:val="20"/>
        </w:rPr>
        <w:t>Impairment of Long-lived Assets</w:t>
      </w:r>
      <w:r>
        <w:rPr>
          <w:rFonts w:ascii="Times New Roman;Times;Serif" w:hAnsi="Times New Roman;Times;Serif"/>
          <w:b w:val="false"/>
          <w:i w:val="false"/>
          <w:caps w:val="false"/>
          <w:smallCaps w:val="false"/>
          <w:sz w:val="20"/>
        </w:rPr>
        <w:t>- In accordance with ASC 360-10-35-17, if the carrying amount of an asset or asset group (in use or under development) is evaluated and found not to be fully recoverable (the carrying amount exceeds the estimated gross, undiscounted cash flows from use and disposition), then an impairment loss must be recognized. The impairment loss is measured as the excess of the carrying amount over the asset’s (or asset group’s) fair value. The Company did not record any impairment charges for the 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6" w:name="xdx_860_zwRotObdJJ9j"/>
      <w:bookmarkStart w:id="247" w:name="xdx_84B_eus-gaap--LesseeLeasesPolicyText"/>
      <w:bookmarkEnd w:id="246"/>
      <w:bookmarkEnd w:id="247"/>
      <w:r>
        <w:rPr>
          <w:rFonts w:ascii="Times New Roman;Times;Serif" w:hAnsi="Times New Roman;Times;Serif"/>
          <w:b/>
          <w:i w:val="false"/>
          <w:caps w:val="false"/>
          <w:smallCaps w:val="false"/>
          <w:sz w:val="20"/>
        </w:rPr>
        <w:t xml:space="preserve">Leases - </w:t>
      </w:r>
      <w:r>
        <w:rPr>
          <w:rFonts w:ascii="Times New Roman;Times;Serif" w:hAnsi="Times New Roman;Times;Serif"/>
          <w:b w:val="false"/>
          <w:i w:val="false"/>
          <w:caps w:val="false"/>
          <w:smallCaps w:val="false"/>
          <w:sz w:val="20"/>
        </w:rPr>
        <w:t>Leases are classified at lease commencement date as either a finance lease or an operating lease. A lease is a finance lease if it meets any of the following criteria: (a) the lease transfers ownership of the underlying asset to the lessee by the end of the lease term, (b) the lease grants the lessee an option to purchase the underlying asset that the lessee is reasonably certain to exercise, (c) the lease term is for the major part of the remaining economic life of the underlying asset, (d) the present value of the sum of the lease payments and any residual value guaranteed by the lessee that is not already reflected in the lease payments equals or exceeds substantially all of the fair value of the underlying asset or (e) the underlying asset is of such a specialized nature that it is expected to have no alternative use to the lessor at the end of the lease term. When none of the foregoing criteria is met, the lease shall be classified as an operating lease.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utilizes operating leases for its office space requirements. This means that the Company leases office space, categorizing the lease arrangement as an operating lease. Under this arrangement, the Company does not hold ownership of the leased assets but instead pays rent for the right to use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lessee, a lease is recognized as an operating lease right-of-use asset with a corresponding liability at lease commencement date. The lease liability is calculated at the present value of the lease payments not yet paid by using the lease term and discount rate determined at lease commencement. The operating lease right-of-use asset is calculated as the lease liability, increased by any initial direct costs, and prepaid lease payments, reduced by any lease incentives received before lease commencement. The operating lease right-of-use asset itself is amortized on a straight-line basis unless another systematic method better reflects how the underlying asset will be used by and benefits the lessee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8" w:name="xdx_86F_zxzKECDY16Jk"/>
      <w:bookmarkStart w:id="249" w:name="xdx_840_eus-gaap--FairValueMeasurementPo"/>
      <w:bookmarkEnd w:id="248"/>
      <w:bookmarkEnd w:id="249"/>
      <w:r>
        <w:rPr>
          <w:rFonts w:ascii="Times New Roman;Times;Serif" w:hAnsi="Times New Roman;Times;Serif"/>
          <w:b/>
          <w:i w:val="false"/>
          <w:caps w:val="false"/>
          <w:smallCaps w:val="false"/>
          <w:sz w:val="20"/>
        </w:rPr>
        <w:t xml:space="preserve">Fair Value Measurement </w:t>
      </w:r>
      <w:r>
        <w:rPr>
          <w:rFonts w:ascii="Times New Roman;Times;Serif" w:hAnsi="Times New Roman;Times;Serif"/>
          <w:b w:val="false"/>
          <w:i w:val="false"/>
          <w:caps w:val="false"/>
          <w:smallCaps w:val="false"/>
          <w:sz w:val="20"/>
        </w:rPr>
        <w:t>- 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carrying amounts reported in the consolidated balance sheets for cash and cash equivalents, accounts receivable, accounts payable, due to related parties and short-term debt at fair value or cost, which approximates fair value because of the short period of time between the origination of such instruments and their expected realization and their current market rates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Valuations based on quoted prices for identical assets and liabilities in active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Valuations based on unobservable inputs reflecting the Company’s own assumptions, consistent with reasonably available assumptions made by other market participants. These valuations require significant judgment.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50" w:name="xdx_866_zIpK7KMHZt3k"/>
      <w:bookmarkStart w:id="251" w:name="xdx_840_eus-gaap--RevenueFromContractWit"/>
      <w:bookmarkEnd w:id="250"/>
      <w:bookmarkEnd w:id="251"/>
      <w:r>
        <w:rPr>
          <w:rFonts w:ascii="Times New Roman;Times;Serif" w:hAnsi="Times New Roman;Times;Serif"/>
          <w:b/>
          <w:i w:val="false"/>
          <w:caps w:val="false"/>
          <w:smallCaps w:val="false"/>
          <w:sz w:val="20"/>
        </w:rPr>
        <w:t>Revenue Recognition</w:t>
      </w:r>
      <w:r>
        <w:rPr>
          <w:rFonts w:ascii="Times New Roman;Times;Serif" w:hAnsi="Times New Roman;Times;Serif"/>
          <w:b w:val="false"/>
          <w:i w:val="false"/>
          <w:caps w:val="false"/>
          <w:smallCaps w:val="false"/>
          <w:sz w:val="20"/>
        </w:rPr>
        <w:t xml:space="preserve"> - The Company accounts for revenues in accordance with ASC Topic 606, Revenue from Contracts with Customers. The Company adopted ASC Topic 606 as of January 1, 2019. The standard did not affect the Company’s consolidated financial position, or cash flows. There were no changes to the timing of revenue recognition as a result of the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revenues in accordance with ASC Topic 606, which provided a five-step model for recognizing revenue from contracts with customers as follows:</w:t>
      </w:r>
    </w:p>
    <w:p>
      <w:pPr>
        <w:pStyle w:val="TextBody"/>
        <w:bidi w:val="0"/>
        <w:spacing w:before="0" w:after="0"/>
        <w:ind w:left="0" w:right="0" w:hanging="0"/>
        <w:jc w:val="both"/>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75"/>
        <w:gridCol w:w="170"/>
        <w:gridCol w:w="621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contract with a customer.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revenues when or as performance obligations are satisfied.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revenues because the Company as principal owns and controls all the goods before they are transferred to the customer. The Company can, at any time, direct Amazon, similarly, other third-party logistics providers (“Logistics Providers”), to return the Company’s inventories to any location specified by the Company. It is the Company’s responsibility to make any returns made by customers directly to Logistics Providers and the Company retains the back-end inventory risk. Further, the Company is subject to credit risk (i.e., credit card chargebacks), establishes prices of its products, can determine who fulfills the goods to the customer (Amazon or the Company) and can limit quantities or stop selling the goods at any time. Based on these considerations, the Company is the principal in this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derives its revenues from the sale of consumer products. The Company sells its products directly to consumers through online retail channels. The Company considers customer order confirmations to be a contract with the customer. For each contract, the promise to transfer products is identified as the sole performance obligation. Transaction prices are evaluated for potential refunds or adjustments, determining the net consideration expected. Revenues for the three and six months ended June 30, 2026 and 2025 were recognized at a point in time. Customer confirmations are executed at the time an order is placed through third-party online channels. For all of the Company’s sales and distribution channels, revenues are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can return products within 30 days after the products are delivered and estimated sales returns are calculated based on the expected returns. The rates of sales returns were</w:t>
      </w:r>
      <w:bookmarkStart w:id="252" w:name="xdx_909_ecustom--SalesReturnRate_pid_dp_"/>
      <w:bookmarkEnd w:id="252"/>
      <w:r>
        <w:rPr>
          <w:rFonts w:ascii="Times New Roman;Times;Serif" w:hAnsi="Times New Roman;Times;Serif"/>
          <w:b w:val="false"/>
          <w:i w:val="false"/>
          <w:caps w:val="false"/>
          <w:smallCaps w:val="false"/>
          <w:sz w:val="20"/>
        </w:rPr>
        <w:t xml:space="preserve"> 6.90% and </w:t>
      </w:r>
      <w:bookmarkStart w:id="253" w:name="xdx_908_ecustom--SalesReturnRate_pid_dp_"/>
      <w:bookmarkEnd w:id="253"/>
      <w:r>
        <w:rPr>
          <w:rFonts w:ascii="Times New Roman;Times;Serif" w:hAnsi="Times New Roman;Times;Serif"/>
          <w:b w:val="false"/>
          <w:i w:val="false"/>
          <w:caps w:val="false"/>
          <w:smallCaps w:val="false"/>
          <w:sz w:val="20"/>
        </w:rPr>
        <w:t>6.92% of gross sales for the six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offers price discounts on certain selected items to stimulate the sales of those items. Revenues are measured as the amount of consideration for which the Company expects to be entitled in exchange for transferring goods. Consistent with this policy, the Company reduces the amount of these discounts from the gross revenues to calculate the net revenues recorded on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defined as the promise to transfer a distinct good, is the unit of account in ASC Topic 606. The Company treats shipping and handling as fulfillment activities, not separate performance obligations. Costs for shipping and handling were $</w:t>
      </w:r>
      <w:bookmarkStart w:id="254" w:name="xdx_906_ecustom--ShippingAndHandlingCost"/>
      <w:bookmarkEnd w:id="254"/>
      <w:r>
        <w:rPr>
          <w:rFonts w:ascii="Times New Roman;Times;Serif" w:hAnsi="Times New Roman;Times;Serif"/>
          <w:b w:val="false"/>
          <w:i w:val="false"/>
          <w:caps w:val="false"/>
          <w:smallCaps w:val="false"/>
          <w:sz w:val="20"/>
        </w:rPr>
        <w:t>13,887,211 and $</w:t>
      </w:r>
      <w:bookmarkStart w:id="255" w:name="xdx_90B_ecustom--ShippingAndHandlingCost"/>
      <w:bookmarkEnd w:id="255"/>
      <w:r>
        <w:rPr>
          <w:rFonts w:ascii="Times New Roman;Times;Serif" w:hAnsi="Times New Roman;Times;Serif"/>
          <w:b w:val="false"/>
          <w:i w:val="false"/>
          <w:caps w:val="false"/>
          <w:smallCaps w:val="false"/>
          <w:sz w:val="20"/>
        </w:rPr>
        <w:t>11,659,356 for the six months ended June 30, 2026 and 2025, respectively, recorded as selling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56" w:name="xdx_865_zvyET86TAL09"/>
      <w:bookmarkStart w:id="257" w:name="xdx_841_eus-gaap--SegmentReportingPolicy"/>
      <w:bookmarkEnd w:id="256"/>
      <w:bookmarkEnd w:id="257"/>
      <w:r>
        <w:rPr>
          <w:rFonts w:ascii="Times New Roman;Times;Serif" w:hAnsi="Times New Roman;Times;Serif"/>
          <w:b/>
          <w:i w:val="false"/>
          <w:caps w:val="false"/>
          <w:smallCaps w:val="false"/>
          <w:sz w:val="20"/>
        </w:rPr>
        <w:t xml:space="preserve">Segment Information </w:t>
      </w:r>
      <w:r>
        <w:rPr>
          <w:rFonts w:ascii="Times New Roman;Times;Serif" w:hAnsi="Times New Roman;Times;Serif"/>
          <w:b w:val="false"/>
          <w:i w:val="false"/>
          <w:caps w:val="false"/>
          <w:smallCaps w:val="false"/>
          <w:sz w:val="20"/>
        </w:rPr>
        <w:t xml:space="preserve">– The Company has only </w:t>
      </w:r>
      <w:bookmarkStart w:id="258" w:name="xdx_90A_eus-gaap--NumberOfOperatingSegme"/>
      <w:bookmarkEnd w:id="258"/>
      <w:r>
        <w:rPr>
          <w:rFonts w:ascii="Times New Roman;Times;Serif" w:hAnsi="Times New Roman;Times;Serif"/>
          <w:b w:val="false"/>
          <w:i w:val="false"/>
          <w:caps w:val="false"/>
          <w:smallCaps w:val="false"/>
          <w:sz w:val="20"/>
        </w:rPr>
        <w:t>one segment, which is online retail (e-commerce).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“management approach” to determine reportable operating segments. The management approach considers the internal organization and reporting used by the Company’s chief operating decision maker (“CODM”) for making operating decisions and assessing performance as the source for determining the Company’s reportable segments. The Company’s CODM has been identified as the chief executive officer of the Company who reviews financial information of separate operating segments based on U.S. GAAP. The CODM now reviews results analyzed by customers. This analysis is only presented at the revenue level with no allocation of direct or indirect costs. Consequently, the Company has determined that it has only one operating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59" w:name="xdx_86D_zuCP1ARva5wa"/>
      <w:bookmarkStart w:id="260" w:name="xdx_847_eus-gaap--IncomeTaxPolicyTextBlo"/>
      <w:bookmarkEnd w:id="259"/>
      <w:bookmarkEnd w:id="260"/>
      <w:r>
        <w:rPr>
          <w:rFonts w:ascii="Times New Roman;Times;Serif" w:hAnsi="Times New Roman;Times;Serif"/>
          <w:b/>
          <w:i w:val="false"/>
          <w:caps w:val="false"/>
          <w:smallCaps w:val="false"/>
          <w:sz w:val="20"/>
        </w:rPr>
        <w:t>Income Taxes</w:t>
      </w:r>
      <w:r>
        <w:rPr>
          <w:rFonts w:ascii="Times New Roman;Times;Serif" w:hAnsi="Times New Roman;Times;Serif"/>
          <w:b w:val="false"/>
          <w:i w:val="false"/>
          <w:caps w:val="false"/>
          <w:smallCaps w:val="false"/>
          <w:sz w:val="20"/>
        </w:rPr>
        <w:t xml:space="preserve"> - Income tax expense includes U.S. (federal and state) and foreign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complied with state tax codes and regulations, including with respect to California franchise taxes. Management has evaluated its tax positions and has concluded that the Company had taken no uncertain tax positions that could require adjustment or disclosure in the financial statements to comply with provisions set forth in ASC Section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represent amounts available to reduce income taxes payable in future periods. Deferred tax assets are evaluated for future realization and reduced by a valuation allowance to the extent the Company believe they will not be realized. The Company considers many factors when assessing the likelihood of future realization of its deferred tax assets, including recent cumulative loss experience and expectations of future earnings, capital gains and investment in such jurisdiction, the carry-forward periods available to the Company’s for tax reporting purposes, and other relevant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1" w:name="xdx_86E_zEdhmUKFn6X1"/>
      <w:bookmarkStart w:id="262" w:name="xdx_845_ecustom--SalesTaxesPolicyTextBlo"/>
      <w:bookmarkEnd w:id="261"/>
      <w:bookmarkEnd w:id="262"/>
      <w:r>
        <w:rPr>
          <w:rFonts w:ascii="Times New Roman;Times;Serif" w:hAnsi="Times New Roman;Times;Serif"/>
          <w:b/>
          <w:i w:val="false"/>
          <w:caps w:val="false"/>
          <w:smallCaps w:val="false"/>
          <w:sz w:val="20"/>
        </w:rPr>
        <w:t>Presentation of Sales Taxes</w:t>
      </w:r>
      <w:r>
        <w:rPr>
          <w:rFonts w:ascii="Times New Roman;Times;Serif" w:hAnsi="Times New Roman;Times;Serif"/>
          <w:b w:val="false"/>
          <w:i w:val="false"/>
          <w:caps w:val="false"/>
          <w:smallCaps w:val="false"/>
          <w:sz w:val="20"/>
        </w:rPr>
        <w:t xml:space="preserve"> - Governmental authorities impose sales tax on all of the Company’s sales to nonexempt customers. The Company collects sales tax from customers and remits the entire amount to the governmental authorities. The Company’s accounting policy is to exclude the tax collected and remitted from revenues and 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3" w:name="xdx_86E_zx8Fq6SmMt3b"/>
      <w:bookmarkStart w:id="264" w:name="xdx_84F_eus-gaap--ConcentrationRiskCredi"/>
      <w:bookmarkEnd w:id="263"/>
      <w:bookmarkEnd w:id="264"/>
      <w:r>
        <w:rPr>
          <w:rFonts w:ascii="Times New Roman;Times;Serif" w:hAnsi="Times New Roman;Times;Serif"/>
          <w:b/>
          <w:i w:val="false"/>
          <w:caps w:val="false"/>
          <w:smallCaps w:val="false"/>
          <w:sz w:val="20"/>
        </w:rPr>
        <w:t>Concentration of Credit Risks -</w:t>
      </w:r>
      <w:r>
        <w:rPr>
          <w:rFonts w:ascii="Times New Roman;Times;Serif" w:hAnsi="Times New Roman;Times;Serif"/>
          <w:b w:val="false"/>
          <w:i w:val="false"/>
          <w:caps w:val="false"/>
          <w:smallCaps w:val="false"/>
          <w:sz w:val="20"/>
        </w:rPr>
        <w:t xml:space="preserve"> Financial instruments that potentially subject the Company to concentrations of credit risk consist primarily of cash and cash equivalents and accounts receivable. The Company maintains cash and cash equivalents with various domestic and foreign financial institutions of high credit quality. The Company performs periodic evaluations of the relative credit standing of all of the aforementioned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reserves for potential credit losses on customer accounts when deemed necessary. Significant customers are those which represent more than 10% of the Company’s total net revenues or gross accounts receivable balance at the balance sheet date.</w:t>
      </w:r>
      <w:bookmarkStart w:id="265" w:name="xdx_90A_eus-gaap--ConcentrationRiskCusto"/>
      <w:bookmarkEnd w:id="265"/>
      <w:r>
        <w:rPr>
          <w:rFonts w:ascii="Times New Roman;Times;Serif" w:hAnsi="Times New Roman;Times;Serif"/>
          <w:b w:val="false"/>
          <w:i w:val="false"/>
          <w:caps w:val="false"/>
          <w:smallCaps w:val="false"/>
          <w:sz w:val="20"/>
        </w:rPr>
        <w:t xml:space="preserve"> During the three and six months ended June 30, 2026 and 2025, the Company had no customer that accounted for 10% or more of total net revenues. In addition, as of June 30, 2026 and December 31, 2025, the Company had no customer that accounted for 10% or more of gross accounts receivable. As of June 30, 2026 and December 31, 2025, all of the Company’s accounts receivable were held by the Company’s sales platform agent, Amazon, which collects money on the Company’s behalf from its customers. Therefore, the Company’s accounts receivable are comprised of receivables due from Amazon and the disbursement from Amazon to the Company usually takes approximately 14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business is reliant on one key vendor which currently provides the Company with its sales platform, logistics and fulfillment operations, including certain warehousing for the Company’s net goods, and invoicing and collection of its revenues from the Company’s end customers. During the six months ended June 30, 2026 and 2025, approximately </w:t>
      </w:r>
      <w:bookmarkStart w:id="266" w:name="xdx_900_eus-gaap--ConcentrationRiskPerce"/>
      <w:bookmarkEnd w:id="266"/>
      <w:r>
        <w:rPr>
          <w:rFonts w:ascii="Times New Roman;Times;Serif" w:hAnsi="Times New Roman;Times;Serif"/>
          <w:b w:val="false"/>
          <w:i w:val="false"/>
          <w:caps w:val="false"/>
          <w:smallCaps w:val="false"/>
          <w:sz w:val="20"/>
        </w:rPr>
        <w:t xml:space="preserve">97% and </w:t>
      </w:r>
      <w:bookmarkStart w:id="267" w:name="xdx_90C_eus-gaap--ConcentrationRiskPerce"/>
      <w:bookmarkEnd w:id="267"/>
      <w:r>
        <w:rPr>
          <w:rFonts w:ascii="Times New Roman;Times;Serif" w:hAnsi="Times New Roman;Times;Serif"/>
          <w:b w:val="false"/>
          <w:i w:val="false"/>
          <w:caps w:val="false"/>
          <w:smallCaps w:val="false"/>
          <w:sz w:val="20"/>
        </w:rPr>
        <w:t>99%, respectively, of the Company’s revenues were through or with the Amazon sales platform.</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bookmarkStart w:id="268" w:name="xdx_863_zDof4D4zMLA8"/>
      <w:bookmarkStart w:id="269" w:name="xdx_84E_ecustom--ForeignCurrencyExchange"/>
      <w:bookmarkEnd w:id="268"/>
      <w:bookmarkEnd w:id="269"/>
      <w:r>
        <w:rPr>
          <w:rFonts w:ascii="Times New Roman;Times;Serif" w:hAnsi="Times New Roman;Times;Serif"/>
          <w:b/>
          <w:i w:val="false"/>
          <w:caps w:val="false"/>
          <w:smallCaps w:val="false"/>
          <w:sz w:val="20"/>
        </w:rPr>
        <w:t>Foreign Currency Exchange Risk</w:t>
      </w:r>
      <w:r>
        <w:rPr>
          <w:rFonts w:ascii="Times New Roman;Times;Serif" w:hAnsi="Times New Roman;Times;Serif"/>
          <w:b w:val="false"/>
          <w:i w:val="false"/>
          <w:caps w:val="false"/>
          <w:smallCaps w:val="false"/>
          <w:sz w:val="20"/>
        </w:rPr>
        <w:t xml:space="preserve"> - The Company is exposed to foreign currency exchange risk through its foreign subsidiary in Taiwan. The Company does not hedge foreign currency translation risk in the net assets and income reported from these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0" w:name="xdx_86A_z23y5nxmPhd5"/>
      <w:bookmarkStart w:id="271" w:name="xdx_84A_eus-gaap--AdvertisingCostsPolicy"/>
      <w:bookmarkEnd w:id="270"/>
      <w:bookmarkEnd w:id="271"/>
      <w:r>
        <w:rPr>
          <w:rFonts w:ascii="Times New Roman;Times;Serif" w:hAnsi="Times New Roman;Times;Serif"/>
          <w:b/>
          <w:i w:val="false"/>
          <w:caps w:val="false"/>
          <w:smallCaps w:val="false"/>
          <w:sz w:val="20"/>
        </w:rPr>
        <w:t>Advertising and Promotion Expenses</w:t>
      </w:r>
      <w:r>
        <w:rPr>
          <w:rFonts w:ascii="Times New Roman;Times;Serif" w:hAnsi="Times New Roman;Times;Serif"/>
          <w:b w:val="false"/>
          <w:i w:val="false"/>
          <w:caps w:val="false"/>
          <w:smallCaps w:val="false"/>
          <w:sz w:val="20"/>
        </w:rPr>
        <w:t xml:space="preserve"> – The Company’s policy is to recognize advertising costs as they are incurred. Advertising and promotion expenses were $</w:t>
      </w:r>
      <w:bookmarkStart w:id="272" w:name="xdx_90A_eus-gaap--AdvertisingExpense_c20"/>
      <w:bookmarkEnd w:id="272"/>
      <w:r>
        <w:rPr>
          <w:rFonts w:ascii="Times New Roman;Times;Serif" w:hAnsi="Times New Roman;Times;Serif"/>
          <w:b w:val="false"/>
          <w:i w:val="false"/>
          <w:caps w:val="false"/>
          <w:smallCaps w:val="false"/>
          <w:sz w:val="20"/>
        </w:rPr>
        <w:t>2,823,018 and $</w:t>
      </w:r>
      <w:bookmarkStart w:id="273" w:name="xdx_903_eus-gaap--AdvertisingExpense_c20"/>
      <w:bookmarkEnd w:id="273"/>
      <w:r>
        <w:rPr>
          <w:rFonts w:ascii="Times New Roman;Times;Serif" w:hAnsi="Times New Roman;Times;Serif"/>
          <w:b w:val="false"/>
          <w:i w:val="false"/>
          <w:caps w:val="false"/>
          <w:smallCaps w:val="false"/>
          <w:sz w:val="20"/>
        </w:rPr>
        <w:t>964,824 for the six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4" w:name="xdx_869_zJNQmuGrbRH4"/>
      <w:bookmarkStart w:id="275" w:name="xdx_846_eus-gaap--CommitmentsAndContinge"/>
      <w:bookmarkEnd w:id="274"/>
      <w:bookmarkEnd w:id="275"/>
      <w:r>
        <w:rPr>
          <w:rFonts w:ascii="Times New Roman;Times;Serif" w:hAnsi="Times New Roman;Times;Serif"/>
          <w:b/>
          <w:i w:val="false"/>
          <w:caps w:val="false"/>
          <w:smallCaps w:val="false"/>
          <w:sz w:val="20"/>
        </w:rPr>
        <w:t>Commitments and Contingencies</w:t>
      </w:r>
      <w:r>
        <w:rPr>
          <w:rFonts w:ascii="Times New Roman;Times;Serif" w:hAnsi="Times New Roman;Times;Serif"/>
          <w:b w:val="false"/>
          <w:i w:val="false"/>
          <w:caps w:val="false"/>
          <w:smallCaps w:val="false"/>
          <w:sz w:val="20"/>
        </w:rPr>
        <w:t xml:space="preserve"> - 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6" w:name="xdx_860_zS7B5mNPFulk"/>
      <w:bookmarkStart w:id="277" w:name="xdx_84C_ecustom--RelatedPartiesPolicyTex"/>
      <w:bookmarkEnd w:id="276"/>
      <w:bookmarkEnd w:id="277"/>
      <w:r>
        <w:rPr>
          <w:rFonts w:ascii="Times New Roman;Times;Serif" w:hAnsi="Times New Roman;Times;Serif"/>
          <w:b/>
          <w:i w:val="false"/>
          <w:caps w:val="false"/>
          <w:smallCaps w:val="false"/>
          <w:sz w:val="20"/>
        </w:rPr>
        <w:t>Related Parties</w:t>
      </w:r>
      <w:r>
        <w:rPr>
          <w:rFonts w:ascii="Times New Roman;Times;Serif" w:hAnsi="Times New Roman;Times;Serif"/>
          <w:b w:val="false"/>
          <w:i w:val="false"/>
          <w:caps w:val="false"/>
          <w:smallCaps w:val="false"/>
          <w:sz w:val="20"/>
        </w:rPr>
        <w:t xml:space="preserve"> - The Company accounts for related party transactions in accordance with FASB ASC Topic 850 (Related Party Disclosures). A party is considered to be related to the Company if the party directly or indirectly or through one or more intermediaries, controls, is controlled by, or is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A party which can significantly influence the management or operating policies of the transacting parties or if it has an ownership interest in one of the transacting parties and can significantly influence the other to an extent that one or more of the transacting parties might be prevented from fully pursuing its own separate interests is also a related party.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78" w:name="xdx_86C_z3cLVWvSYCKc"/>
      <w:bookmarkStart w:id="279" w:name="xdx_84D_eus-gaap--EarningsPerSharePolicy"/>
      <w:bookmarkEnd w:id="278"/>
      <w:bookmarkEnd w:id="279"/>
      <w:r>
        <w:rPr>
          <w:rFonts w:ascii="Times New Roman;Times;Serif" w:hAnsi="Times New Roman;Times;Serif"/>
          <w:b/>
          <w:i w:val="false"/>
          <w:caps w:val="false"/>
          <w:smallCaps w:val="false"/>
          <w:sz w:val="20"/>
        </w:rPr>
        <w:t xml:space="preserve">Earnings per Share - </w:t>
      </w:r>
      <w:r>
        <w:rPr>
          <w:rFonts w:ascii="Times New Roman;Times;Serif" w:hAnsi="Times New Roman;Times;Serif"/>
          <w:b w:val="false"/>
          <w:i w:val="false"/>
          <w:caps w:val="false"/>
          <w:smallCaps w:val="false"/>
          <w:sz w:val="20"/>
        </w:rPr>
        <w:t>The Company computes basic earnings per common share using the weighted-average number of shares of common stock outstanding during the period. For the period in which the Company reports net losses, diluted net loss per share attributable to stockholders is the same as basic net loss per share attributable to stockholders, because potentially dilutive common shares are not assumed to have been issued if their effect is anti-dilutive. There were no dilutive securities or other items that would affect earnings per share for the three and six months ended June 30, 2026 and 2025. Therefore, the diluted earnings per share is the same as the basic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80" w:name="xdx_865_zkLaCvv3bMqc"/>
      <w:bookmarkStart w:id="281" w:name="xdx_84A_eus-gaap--CompensationRelatedCos"/>
      <w:bookmarkEnd w:id="280"/>
      <w:bookmarkEnd w:id="281"/>
      <w:r>
        <w:rPr>
          <w:rFonts w:ascii="Times New Roman;Times;Serif" w:hAnsi="Times New Roman;Times;Serif"/>
          <w:b/>
          <w:i w:val="false"/>
          <w:caps w:val="false"/>
          <w:smallCaps w:val="false"/>
          <w:sz w:val="20"/>
        </w:rPr>
        <w:t>Shares Issued for Services</w:t>
      </w:r>
      <w:r>
        <w:rPr>
          <w:rFonts w:ascii="Times New Roman;Times;Serif" w:hAnsi="Times New Roman;Times;Serif"/>
          <w:b w:val="false"/>
          <w:i w:val="false"/>
          <w:caps w:val="false"/>
          <w:smallCaps w:val="false"/>
          <w:sz w:val="20"/>
        </w:rPr>
        <w:t xml:space="preserve"> – Stock-based compensation cost for all equity-classified stock awards expected to vest is measured at fair value on the date of grant and recognized over the service period.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2" w:name="xdx_807_eus-gaap--NewAccountingPronounce"/>
      <w:bookmarkEnd w:id="282"/>
      <w:r>
        <w:rPr>
          <w:rFonts w:ascii="Times New Roman;Times;Serif" w:hAnsi="Times New Roman;Times;Serif"/>
          <w:b/>
          <w:i w:val="false"/>
          <w:caps w:val="false"/>
          <w:smallCaps w:val="false"/>
          <w:sz w:val="20"/>
        </w:rPr>
        <w:t xml:space="preserve">NOTE 2 - </w:t>
      </w:r>
      <w:bookmarkStart w:id="283" w:name="xdx_82C_zTTkamvZZYFe"/>
      <w:bookmarkEnd w:id="283"/>
      <w:r>
        <w:rPr>
          <w:rFonts w:ascii="Times New Roman;Times;Serif" w:hAnsi="Times New Roman;Times;Serif"/>
          <w:b/>
          <w:i w:val="false"/>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which requires the disaggregation of certain expenses in the notes of the financials, to provide enhanced transparency into the expense captions presented on the face of the income statement. ASU 2024-03 is effective for annual reporting periods beginning after December 15, 2026 and interim periods beginning after December 15, 2027 and may be applied either prospectively or retrospectively. There is no material impact expected to the Company’s results of operations, cash flows and financial condition at the time of adoption, however the Company is still assessing the disclosure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 (Topic 326): Measurement of Credit Losses for Accounts Receivable and Contract Assets, which provides a practical expedient to assume that conditions as of the balance sheet date remain unchanged over the life of the asset when estimating expected credit losses for current accounts receivable and current contract assets arising from transactions accounted for under Topic 606. ASU 2025-05 is effective for annual reporting periods beginning after December 15, 2025 and interim periods within those annual reporting periods, with early adoption permitted, and should be applied prospectively. There is no material impact expected to the Company’s consolidated financial statements and related disclosures at the time of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above-mentioned pronouncements, there are no recently issued accounting standards that will have a material impact on the consolidated financial position, statements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4" w:name="xdx_800_eus-gaap--InventoryDisclosureTex"/>
      <w:bookmarkEnd w:id="284"/>
      <w:r>
        <w:rPr>
          <w:rFonts w:ascii="Times New Roman;Times;Serif" w:hAnsi="Times New Roman;Times;Serif"/>
          <w:b/>
          <w:i w:val="false"/>
          <w:caps w:val="false"/>
          <w:smallCaps w:val="false"/>
          <w:sz w:val="20"/>
        </w:rPr>
        <w:t xml:space="preserve">NOTE 3 - </w:t>
      </w:r>
      <w:bookmarkStart w:id="285" w:name="xdx_820_zI4YCS6eeJ6j"/>
      <w:bookmarkEnd w:id="285"/>
      <w:r>
        <w:rPr>
          <w:rFonts w:ascii="Times New Roman;Times;Serif" w:hAnsi="Times New Roman;Times;Serif"/>
          <w:b/>
          <w:i w:val="false"/>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86" w:name="xdx_89C_eus-gaap--ScheduleOfInventoryCur"/>
      <w:bookmarkEnd w:id="286"/>
      <w:r>
        <w:rPr>
          <w:rFonts w:ascii="Times New Roman;Times;Serif" w:hAnsi="Times New Roman;Times;Serif"/>
          <w:b w:val="false"/>
          <w:i w:val="false"/>
          <w:caps w:val="false"/>
          <w:smallCaps w:val="false"/>
          <w:sz w:val="20"/>
        </w:rPr>
        <w:t>Inventory was comprised of the following as of June 30, 2026 and December 31, 2025, respectively:</w:t>
      </w:r>
    </w:p>
    <w:p>
      <w:pPr>
        <w:pStyle w:val="TextBody"/>
        <w:bidi w:val="0"/>
        <w:spacing w:before="0" w:after="0"/>
        <w:ind w:left="0" w:right="0" w:hanging="0"/>
        <w:jc w:val="both"/>
        <w:rPr>
          <w:caps w:val="false"/>
          <w:smallCaps w:val="false"/>
        </w:rPr>
      </w:pPr>
      <w:r>
        <w:rPr>
          <w:caps w:val="false"/>
          <w:smallCaps w:val="false"/>
        </w:rPr>
        <w:t> </w:t>
      </w:r>
      <w:bookmarkStart w:id="287" w:name="xdx_8B1_zA2sQGp6Wmn"/>
      <w:bookmarkEnd w:id="287"/>
      <w:r>
        <w:rPr>
          <w:rFonts w:ascii="Times New Roman;Times;Serif" w:hAnsi="Times New Roman;Times;Serif"/>
          <w:b w:val="false"/>
          <w:i w:val="false"/>
          <w:caps w:val="false"/>
          <w:smallCaps w:val="false"/>
          <w:sz w:val="20"/>
        </w:rPr>
        <w:t>Schedule of Inventory </w:t>
      </w:r>
    </w:p>
    <w:tbl>
      <w:tblPr>
        <w:tblW w:w="5483" w:type="dxa"/>
        <w:jc w:val="left"/>
        <w:tblInd w:w="0" w:type="dxa"/>
        <w:tblLayout w:type="fixed"/>
        <w:tblCellMar>
          <w:top w:w="0" w:type="dxa"/>
          <w:left w:w="0" w:type="dxa"/>
          <w:bottom w:w="0" w:type="dxa"/>
          <w:right w:w="0" w:type="dxa"/>
        </w:tblCellMar>
      </w:tblPr>
      <w:tblGrid>
        <w:gridCol w:w="1850"/>
        <w:gridCol w:w="60"/>
        <w:gridCol w:w="159"/>
        <w:gridCol w:w="1255"/>
        <w:gridCol w:w="95"/>
        <w:gridCol w:w="60"/>
        <w:gridCol w:w="213"/>
        <w:gridCol w:w="1681"/>
        <w:gridCol w:w="110"/>
      </w:tblGrid>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88" w:name="xdx_497_20260630_zGHWCNycz4o5"/>
            <w:bookmarkEnd w:id="288"/>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9" w:name="xdx_49F_20251231_zfgup1OfcKTf"/>
            <w:bookmarkEnd w:id="289"/>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11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290" w:name="xdx_403_eus-gaap--InventoryFinishedGoods"/>
            <w:bookmarkEnd w:id="290"/>
          </w:p>
        </w:tc>
      </w:tr>
      <w:tr>
        <w:trPr/>
        <w:tc>
          <w:tcPr>
            <w:tcW w:w="1850"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b/>
              </w:rPr>
            </w:pPr>
            <w:r>
              <w:rPr>
                <w:b/>
              </w:rPr>
              <w:t>$</w:t>
            </w:r>
          </w:p>
        </w:tc>
        <w:tc>
          <w:tcPr>
            <w:tcW w:w="1255" w:type="dxa"/>
            <w:tcBorders/>
            <w:shd w:fill="CCEEFF" w:val="clear"/>
            <w:vAlign w:val="center"/>
          </w:tcPr>
          <w:p>
            <w:pPr>
              <w:pStyle w:val="TableContents"/>
              <w:bidi w:val="0"/>
              <w:spacing w:before="0" w:after="283"/>
              <w:jc w:val="right"/>
              <w:rPr>
                <w:b/>
              </w:rPr>
            </w:pPr>
            <w:r>
              <w:rPr>
                <w:b/>
              </w:rPr>
              <w:t>17,553,739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1681" w:type="dxa"/>
            <w:tcBorders/>
            <w:shd w:fill="CCEEFF" w:val="clear"/>
            <w:vAlign w:val="center"/>
          </w:tcPr>
          <w:p>
            <w:pPr>
              <w:pStyle w:val="TableContents"/>
              <w:bidi w:val="0"/>
              <w:spacing w:before="0" w:after="283"/>
              <w:jc w:val="right"/>
              <w:rPr/>
            </w:pPr>
            <w:r>
              <w:rPr/>
              <w:t>16,061,329</w:t>
            </w:r>
          </w:p>
        </w:tc>
        <w:tc>
          <w:tcPr>
            <w:tcW w:w="110" w:type="dxa"/>
            <w:tcBorders/>
            <w:shd w:fill="CCEEFF" w:val="clear"/>
            <w:vAlign w:val="center"/>
          </w:tcPr>
          <w:p>
            <w:pPr>
              <w:pStyle w:val="TableContents"/>
              <w:bidi w:val="0"/>
              <w:spacing w:before="0" w:after="283"/>
              <w:jc w:val="left"/>
              <w:rPr/>
            </w:pPr>
            <w:r>
              <w:rPr/>
              <w:t> </w:t>
            </w:r>
            <w:bookmarkStart w:id="291" w:name="xdx_405_eus-gaap--OtherInventoryInTransi"/>
            <w:bookmarkEnd w:id="291"/>
          </w:p>
        </w:tc>
      </w:tr>
      <w:tr>
        <w:trPr/>
        <w:tc>
          <w:tcPr>
            <w:tcW w:w="1850" w:type="dxa"/>
            <w:tcBorders/>
            <w:shd w:fill="FFFFFF" w:val="clear"/>
            <w:vAlign w:val="center"/>
          </w:tcPr>
          <w:p>
            <w:pPr>
              <w:pStyle w:val="TableContents"/>
              <w:bidi w:val="0"/>
              <w:spacing w:before="0" w:after="283"/>
              <w:jc w:val="left"/>
              <w:rPr/>
            </w:pPr>
            <w:r>
              <w:rPr/>
              <w:t>Inventory-in-transit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1255" w:type="dxa"/>
            <w:tcBorders/>
            <w:shd w:fill="FFFFFF" w:val="clear"/>
            <w:vAlign w:val="center"/>
          </w:tcPr>
          <w:p>
            <w:pPr>
              <w:pStyle w:val="TableContents"/>
              <w:bidi w:val="0"/>
              <w:spacing w:before="0" w:after="283"/>
              <w:jc w:val="right"/>
              <w:rPr>
                <w:b/>
              </w:rPr>
            </w:pPr>
            <w:r>
              <w:rPr>
                <w:b/>
              </w:rPr>
              <w:t>3,669,529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681" w:type="dxa"/>
            <w:tcBorders/>
            <w:shd w:fill="FFFFFF" w:val="clear"/>
            <w:vAlign w:val="center"/>
          </w:tcPr>
          <w:p>
            <w:pPr>
              <w:pStyle w:val="TableContents"/>
              <w:bidi w:val="0"/>
              <w:spacing w:before="0" w:after="283"/>
              <w:jc w:val="right"/>
              <w:rPr/>
            </w:pPr>
            <w:r>
              <w:rPr/>
              <w:t>2,685,447</w:t>
            </w:r>
          </w:p>
        </w:tc>
        <w:tc>
          <w:tcPr>
            <w:tcW w:w="110" w:type="dxa"/>
            <w:tcBorders/>
            <w:shd w:fill="FFFFFF" w:val="clear"/>
            <w:vAlign w:val="center"/>
          </w:tcPr>
          <w:p>
            <w:pPr>
              <w:pStyle w:val="TableContents"/>
              <w:bidi w:val="0"/>
              <w:spacing w:before="0" w:after="283"/>
              <w:jc w:val="left"/>
              <w:rPr/>
            </w:pPr>
            <w:r>
              <w:rPr/>
              <w:t> </w:t>
            </w:r>
            <w:bookmarkStart w:id="292" w:name="xdx_406_eus-gaap--InventoryValuationRese"/>
            <w:bookmarkEnd w:id="292"/>
          </w:p>
        </w:tc>
      </w:tr>
      <w:tr>
        <w:trPr/>
        <w:tc>
          <w:tcPr>
            <w:tcW w:w="1850" w:type="dxa"/>
            <w:tcBorders/>
            <w:shd w:fill="CCEEFF" w:val="clear"/>
            <w:vAlign w:val="center"/>
          </w:tcPr>
          <w:p>
            <w:pPr>
              <w:pStyle w:val="TableContents"/>
              <w:bidi w:val="0"/>
              <w:spacing w:before="0" w:after="283"/>
              <w:jc w:val="left"/>
              <w:rPr/>
            </w:pPr>
            <w:r>
              <w:rPr/>
              <w:t>Allowance</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(370,981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81" w:type="dxa"/>
            <w:tcBorders>
              <w:bottom w:val="single" w:sz="8" w:space="0" w:color="000000"/>
            </w:tcBorders>
            <w:shd w:fill="CCEEFF" w:val="clear"/>
            <w:tcMar>
              <w:bottom w:w="28" w:type="dxa"/>
            </w:tcMar>
            <w:vAlign w:val="center"/>
          </w:tcPr>
          <w:p>
            <w:pPr>
              <w:pStyle w:val="TableContents"/>
              <w:bidi w:val="0"/>
              <w:spacing w:before="0" w:after="283"/>
              <w:jc w:val="right"/>
              <w:rPr/>
            </w:pPr>
            <w:r>
              <w:rPr/>
              <w:t>(447,841</w:t>
            </w:r>
          </w:p>
        </w:tc>
        <w:tc>
          <w:tcPr>
            <w:tcW w:w="110" w:type="dxa"/>
            <w:tcBorders/>
            <w:shd w:fill="CCEEFF" w:val="clear"/>
            <w:vAlign w:val="center"/>
          </w:tcPr>
          <w:p>
            <w:pPr>
              <w:pStyle w:val="TableContents"/>
              <w:bidi w:val="0"/>
              <w:spacing w:before="0" w:after="283"/>
              <w:jc w:val="left"/>
              <w:rPr/>
            </w:pPr>
            <w:r>
              <w:rPr/>
              <w:t>)</w:t>
            </w:r>
            <w:bookmarkStart w:id="293" w:name="xdx_40E_eus-gaap--InventoryNet_iTI_pp0p0"/>
            <w:bookmarkEnd w:id="293"/>
          </w:p>
        </w:tc>
      </w:tr>
      <w:tr>
        <w:trPr/>
        <w:tc>
          <w:tcPr>
            <w:tcW w:w="185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20,852,287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81" w:type="dxa"/>
            <w:tcBorders>
              <w:bottom w:val="double" w:sz="6" w:space="0" w:color="000000"/>
            </w:tcBorders>
            <w:shd w:fill="FFFFFF" w:val="clear"/>
            <w:tcMar>
              <w:bottom w:w="28" w:type="dxa"/>
            </w:tcMar>
            <w:vAlign w:val="center"/>
          </w:tcPr>
          <w:p>
            <w:pPr>
              <w:pStyle w:val="TableContents"/>
              <w:bidi w:val="0"/>
              <w:spacing w:before="0" w:after="283"/>
              <w:jc w:val="right"/>
              <w:rPr/>
            </w:pPr>
            <w:r>
              <w:rPr/>
              <w:t>18,298,935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94" w:name="xdx_8A2_z94x5XpGt0W2"/>
      <w:bookmarkEnd w:id="29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w:t>
      </w:r>
      <w:bookmarkStart w:id="295" w:name="xdx_905_eus-gaap--InventoryWriteDown_c20"/>
      <w:bookmarkEnd w:id="295"/>
      <w:r>
        <w:rPr>
          <w:rFonts w:ascii="Times New Roman;Times;Serif" w:hAnsi="Times New Roman;Times;Serif"/>
          <w:b w:val="false"/>
          <w:i w:val="false"/>
          <w:caps w:val="false"/>
          <w:smallCaps w:val="false"/>
          <w:sz w:val="20"/>
        </w:rPr>
        <w:t>370,981 and $</w:t>
      </w:r>
      <w:bookmarkStart w:id="296" w:name="xdx_909_eus-gaap--InventoryWriteDown_c20"/>
      <w:bookmarkEnd w:id="296"/>
      <w:r>
        <w:rPr>
          <w:rFonts w:ascii="Times New Roman;Times;Serif" w:hAnsi="Times New Roman;Times;Serif"/>
          <w:b w:val="false"/>
          <w:i w:val="false"/>
          <w:caps w:val="false"/>
          <w:smallCaps w:val="false"/>
          <w:sz w:val="20"/>
        </w:rPr>
        <w:t>447,841 were written down from the cost of purchased inventory to their net realizable values, respectively. Full inventory allowance is recorded for the inventory SKU not sold for more than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of inventory is recorded under cost of goods sold in the statements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7" w:name="xdx_800_eus-gaap--OtherCurrentAssetsText"/>
      <w:bookmarkEnd w:id="297"/>
      <w:r>
        <w:rPr>
          <w:rFonts w:ascii="Times New Roman;Times;Serif" w:hAnsi="Times New Roman;Times;Serif"/>
          <w:b/>
          <w:i w:val="false"/>
          <w:caps w:val="false"/>
          <w:smallCaps w:val="false"/>
          <w:sz w:val="20"/>
        </w:rPr>
        <w:t xml:space="preserve">NOTE 4 - </w:t>
      </w:r>
      <w:bookmarkStart w:id="298" w:name="xdx_824_zkOA2aCoiWKb"/>
      <w:bookmarkEnd w:id="298"/>
      <w:r>
        <w:rPr>
          <w:rFonts w:ascii="Times New Roman;Times;Serif" w:hAnsi="Times New Roman;Times;Serif"/>
          <w:b/>
          <w:i w:val="false"/>
          <w:caps w:val="false"/>
          <w:smallCaps w:val="false"/>
          <w:sz w:val="20"/>
        </w:rPr>
        <w:t>Prepaid Expenses and Other Current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9" w:name="xdx_89B_eus-gaap--DeferredCostsCapitaliz"/>
      <w:bookmarkEnd w:id="299"/>
      <w:r>
        <w:rPr>
          <w:rFonts w:ascii="Times New Roman;Times;Serif" w:hAnsi="Times New Roman;Times;Serif"/>
          <w:b w:val="false"/>
          <w:i w:val="false"/>
          <w:caps w:val="false"/>
          <w:smallCaps w:val="false"/>
          <w:sz w:val="20"/>
        </w:rPr>
        <w:t>Prepaid expenses and other current assets were comprised of the following as of June 30, 2026 and December 31, 2025, respectively:</w:t>
      </w:r>
    </w:p>
    <w:p>
      <w:pPr>
        <w:pStyle w:val="TextBody"/>
        <w:bidi w:val="0"/>
        <w:spacing w:before="0" w:after="0"/>
        <w:ind w:left="0" w:right="0" w:hanging="0"/>
        <w:jc w:val="both"/>
        <w:rPr>
          <w:caps w:val="false"/>
          <w:smallCaps w:val="false"/>
        </w:rPr>
      </w:pPr>
      <w:r>
        <w:rPr>
          <w:caps w:val="false"/>
          <w:smallCaps w:val="false"/>
        </w:rPr>
        <w:t> </w:t>
      </w:r>
      <w:bookmarkStart w:id="300" w:name="xdx_8BA_zLUDrQnlVrml"/>
      <w:bookmarkEnd w:id="300"/>
      <w:r>
        <w:rPr>
          <w:rFonts w:ascii="Times New Roman;Times;Serif" w:hAnsi="Times New Roman;Times;Serif"/>
          <w:b w:val="false"/>
          <w:i w:val="false"/>
          <w:caps w:val="false"/>
          <w:smallCaps w:val="false"/>
          <w:sz w:val="20"/>
        </w:rPr>
        <w:t>Schedule of Prepaid Expenses and Other Current Assets</w:t>
      </w:r>
    </w:p>
    <w:tbl>
      <w:tblPr>
        <w:tblW w:w="6208" w:type="dxa"/>
        <w:jc w:val="left"/>
        <w:tblInd w:w="0" w:type="dxa"/>
        <w:tblLayout w:type="fixed"/>
        <w:tblCellMar>
          <w:top w:w="0" w:type="dxa"/>
          <w:left w:w="0" w:type="dxa"/>
          <w:bottom w:w="0" w:type="dxa"/>
          <w:right w:w="0" w:type="dxa"/>
        </w:tblCellMar>
      </w:tblPr>
      <w:tblGrid>
        <w:gridCol w:w="2645"/>
        <w:gridCol w:w="60"/>
        <w:gridCol w:w="176"/>
        <w:gridCol w:w="1238"/>
        <w:gridCol w:w="60"/>
        <w:gridCol w:w="60"/>
        <w:gridCol w:w="281"/>
        <w:gridCol w:w="1613"/>
        <w:gridCol w:w="75"/>
      </w:tblGrid>
      <w:tr>
        <w:trPr/>
        <w:tc>
          <w:tcPr>
            <w:tcW w:w="26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01" w:name="xdx_497_20260630_zWKJGCjCRTYe"/>
            <w:bookmarkEnd w:id="301"/>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2" w:name="xdx_49E_20251231_zOdX1jlUMaa9"/>
            <w:bookmarkEnd w:id="302"/>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bookmarkStart w:id="303" w:name="xdx_409_eus-gaap--Supplies_iI_maPEAOAzgI"/>
            <w:bookmarkEnd w:id="303"/>
          </w:p>
        </w:tc>
      </w:tr>
      <w:tr>
        <w:trPr/>
        <w:tc>
          <w:tcPr>
            <w:tcW w:w="2645" w:type="dxa"/>
            <w:tcBorders/>
            <w:shd w:fill="CCEEFF" w:val="clear"/>
            <w:vAlign w:val="center"/>
          </w:tcPr>
          <w:p>
            <w:pPr>
              <w:pStyle w:val="TableContents"/>
              <w:bidi w:val="0"/>
              <w:spacing w:before="0" w:after="283"/>
              <w:jc w:val="left"/>
              <w:rPr/>
            </w:pPr>
            <w:r>
              <w:rPr/>
              <w:t>Advance to suppliers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b/>
              </w:rPr>
            </w:pPr>
            <w:r>
              <w:rPr>
                <w:b/>
              </w:rPr>
              <w:t>$</w:t>
            </w:r>
          </w:p>
        </w:tc>
        <w:tc>
          <w:tcPr>
            <w:tcW w:w="1238" w:type="dxa"/>
            <w:tcBorders/>
            <w:shd w:fill="CCEEFF" w:val="clear"/>
            <w:vAlign w:val="center"/>
          </w:tcPr>
          <w:p>
            <w:pPr>
              <w:pStyle w:val="TableContents"/>
              <w:bidi w:val="0"/>
              <w:spacing w:before="0" w:after="283"/>
              <w:jc w:val="right"/>
              <w:rPr>
                <w:b/>
              </w:rPr>
            </w:pPr>
            <w:r>
              <w:rPr>
                <w:b/>
              </w:rPr>
              <w:t>372,415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613" w:type="dxa"/>
            <w:tcBorders/>
            <w:shd w:fill="CCEEFF" w:val="clear"/>
            <w:vAlign w:val="center"/>
          </w:tcPr>
          <w:p>
            <w:pPr>
              <w:pStyle w:val="TableContents"/>
              <w:bidi w:val="0"/>
              <w:spacing w:before="0" w:after="283"/>
              <w:jc w:val="right"/>
              <w:rPr/>
            </w:pPr>
            <w:r>
              <w:rPr/>
              <w:t>193,115</w:t>
            </w:r>
          </w:p>
        </w:tc>
        <w:tc>
          <w:tcPr>
            <w:tcW w:w="75" w:type="dxa"/>
            <w:tcBorders/>
            <w:shd w:fill="CCEEFF" w:val="clear"/>
            <w:vAlign w:val="center"/>
          </w:tcPr>
          <w:p>
            <w:pPr>
              <w:pStyle w:val="TableContents"/>
              <w:bidi w:val="0"/>
              <w:spacing w:before="0" w:after="283"/>
              <w:jc w:val="left"/>
              <w:rPr/>
            </w:pPr>
            <w:r>
              <w:rPr/>
              <w:t> </w:t>
            </w:r>
            <w:bookmarkStart w:id="304" w:name="xdx_404_eus-gaap--PrepaidInsurance_iI_ma"/>
            <w:bookmarkEnd w:id="304"/>
          </w:p>
        </w:tc>
      </w:tr>
      <w:tr>
        <w:trPr/>
        <w:tc>
          <w:tcPr>
            <w:tcW w:w="2645" w:type="dxa"/>
            <w:tcBorders/>
            <w:shd w:fill="FFFFFF" w:val="clear"/>
            <w:vAlign w:val="center"/>
          </w:tcPr>
          <w:p>
            <w:pPr>
              <w:pStyle w:val="TableContents"/>
              <w:bidi w:val="0"/>
              <w:spacing w:before="0" w:after="283"/>
              <w:jc w:val="left"/>
              <w:rPr/>
            </w:pPr>
            <w:r>
              <w:rPr/>
              <w:t>Prepaid expenses-insurance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b/>
              </w:rPr>
            </w:pPr>
            <w:r>
              <w:rPr>
                <w:b/>
              </w:rPr>
              <w:t>22,500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right"/>
              <w:rPr/>
            </w:pPr>
            <w:r>
              <w:rPr/>
              <w:t>45,000</w:t>
            </w:r>
          </w:p>
        </w:tc>
        <w:tc>
          <w:tcPr>
            <w:tcW w:w="75" w:type="dxa"/>
            <w:tcBorders/>
            <w:shd w:fill="FFFFFF" w:val="clear"/>
            <w:vAlign w:val="center"/>
          </w:tcPr>
          <w:p>
            <w:pPr>
              <w:pStyle w:val="TableContents"/>
              <w:bidi w:val="0"/>
              <w:spacing w:before="0" w:after="283"/>
              <w:jc w:val="left"/>
              <w:rPr/>
            </w:pPr>
            <w:r>
              <w:rPr/>
              <w:t> </w:t>
            </w:r>
            <w:bookmarkStart w:id="305" w:name="xdx_408_eus-gaap--OtherPrepaidExpenseCur"/>
            <w:bookmarkEnd w:id="305"/>
          </w:p>
        </w:tc>
      </w:tr>
      <w:tr>
        <w:trPr/>
        <w:tc>
          <w:tcPr>
            <w:tcW w:w="2645" w:type="dxa"/>
            <w:tcBorders/>
            <w:shd w:fill="CCEEFF" w:val="clear"/>
            <w:vAlign w:val="center"/>
          </w:tcPr>
          <w:p>
            <w:pPr>
              <w:pStyle w:val="TableContents"/>
              <w:bidi w:val="0"/>
              <w:spacing w:before="0" w:after="283"/>
              <w:jc w:val="left"/>
              <w:rPr/>
            </w:pPr>
            <w:r>
              <w:rPr/>
              <w:t>Prepaid expenses-other</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b/>
              </w:rPr>
            </w:pPr>
            <w:r>
              <w:rPr>
                <w:b/>
              </w:rPr>
              <w:t>122,504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613" w:type="dxa"/>
            <w:tcBorders/>
            <w:shd w:fill="CCEEFF" w:val="clear"/>
            <w:vAlign w:val="center"/>
          </w:tcPr>
          <w:p>
            <w:pPr>
              <w:pStyle w:val="TableContents"/>
              <w:bidi w:val="0"/>
              <w:spacing w:before="0" w:after="283"/>
              <w:jc w:val="right"/>
              <w:rPr/>
            </w:pPr>
            <w:r>
              <w:rPr/>
              <w:t>79,880</w:t>
            </w:r>
          </w:p>
        </w:tc>
        <w:tc>
          <w:tcPr>
            <w:tcW w:w="75" w:type="dxa"/>
            <w:tcBorders/>
            <w:shd w:fill="CCEEFF" w:val="clear"/>
            <w:vAlign w:val="center"/>
          </w:tcPr>
          <w:p>
            <w:pPr>
              <w:pStyle w:val="TableContents"/>
              <w:bidi w:val="0"/>
              <w:spacing w:before="0" w:after="283"/>
              <w:jc w:val="left"/>
              <w:rPr/>
            </w:pPr>
            <w:r>
              <w:rPr/>
              <w:t> </w:t>
            </w:r>
            <w:bookmarkStart w:id="306" w:name="xdx_40D_ecustom--LeaseRefundableDepositC"/>
            <w:bookmarkEnd w:id="306"/>
          </w:p>
        </w:tc>
      </w:tr>
      <w:tr>
        <w:trPr/>
        <w:tc>
          <w:tcPr>
            <w:tcW w:w="2645" w:type="dxa"/>
            <w:tcBorders/>
            <w:shd w:fill="FFFFFF" w:val="clear"/>
            <w:vAlign w:val="center"/>
          </w:tcPr>
          <w:p>
            <w:pPr>
              <w:pStyle w:val="TableContents"/>
              <w:bidi w:val="0"/>
              <w:spacing w:before="0" w:after="283"/>
              <w:jc w:val="left"/>
              <w:rPr/>
            </w:pPr>
            <w:r>
              <w:rPr/>
              <w:t>Lease refundable deposit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b/>
              </w:rPr>
            </w:pPr>
            <w:r>
              <w:rPr>
                <w:b/>
              </w:rPr>
              <w:t>84,698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right"/>
              <w:rPr/>
            </w:pPr>
            <w:r>
              <w:rPr/>
              <w:t>59,780</w:t>
            </w:r>
          </w:p>
        </w:tc>
        <w:tc>
          <w:tcPr>
            <w:tcW w:w="75" w:type="dxa"/>
            <w:tcBorders/>
            <w:shd w:fill="FFFFFF" w:val="clear"/>
            <w:vAlign w:val="center"/>
          </w:tcPr>
          <w:p>
            <w:pPr>
              <w:pStyle w:val="TableContents"/>
              <w:bidi w:val="0"/>
              <w:spacing w:before="0" w:after="283"/>
              <w:jc w:val="left"/>
              <w:rPr/>
            </w:pPr>
            <w:r>
              <w:rPr/>
              <w:t> </w:t>
            </w:r>
            <w:bookmarkStart w:id="307" w:name="xdx_404_eus-gaap--IncomeTaxesReceivable_"/>
            <w:bookmarkEnd w:id="307"/>
          </w:p>
        </w:tc>
      </w:tr>
      <w:tr>
        <w:trPr/>
        <w:tc>
          <w:tcPr>
            <w:tcW w:w="2645" w:type="dxa"/>
            <w:tcBorders/>
            <w:shd w:fill="CCEEFF" w:val="clear"/>
            <w:vAlign w:val="center"/>
          </w:tcPr>
          <w:p>
            <w:pPr>
              <w:pStyle w:val="TableContents"/>
              <w:bidi w:val="0"/>
              <w:spacing w:before="0" w:after="283"/>
              <w:jc w:val="left"/>
              <w:rPr/>
            </w:pPr>
            <w:r>
              <w:rPr/>
              <w:t>Tax receivable</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b/>
              </w:rPr>
            </w:pPr>
            <w:r>
              <w:rPr>
                <w:b/>
              </w:rPr>
              <w:t>528,554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1613" w:type="dxa"/>
            <w:tcBorders/>
            <w:shd w:fill="CCEEFF" w:val="clear"/>
            <w:vAlign w:val="center"/>
          </w:tcPr>
          <w:p>
            <w:pPr>
              <w:pStyle w:val="TableContents"/>
              <w:bidi w:val="0"/>
              <w:spacing w:before="0" w:after="283"/>
              <w:jc w:val="right"/>
              <w:rPr/>
            </w:pPr>
            <w:r>
              <w:rPr/>
              <w:t>223,030</w:t>
            </w:r>
          </w:p>
        </w:tc>
        <w:tc>
          <w:tcPr>
            <w:tcW w:w="75" w:type="dxa"/>
            <w:tcBorders/>
            <w:shd w:fill="CCEEFF" w:val="clear"/>
            <w:vAlign w:val="center"/>
          </w:tcPr>
          <w:p>
            <w:pPr>
              <w:pStyle w:val="TableContents"/>
              <w:bidi w:val="0"/>
              <w:spacing w:before="0" w:after="283"/>
              <w:jc w:val="left"/>
              <w:rPr/>
            </w:pPr>
            <w:r>
              <w:rPr/>
              <w:t> </w:t>
            </w:r>
            <w:bookmarkStart w:id="308" w:name="xdx_406_eus-gaap--OtherAssetsCurrent_iI_"/>
            <w:bookmarkEnd w:id="308"/>
          </w:p>
        </w:tc>
      </w:tr>
      <w:tr>
        <w:trPr/>
        <w:tc>
          <w:tcPr>
            <w:tcW w:w="264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12,474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3" w:type="dxa"/>
            <w:tcBorders>
              <w:bottom w:val="single" w:sz="8" w:space="0" w:color="000000"/>
            </w:tcBorders>
            <w:shd w:fill="FFFFFF" w:val="clear"/>
            <w:tcMar>
              <w:bottom w:w="28" w:type="dxa"/>
            </w:tcMar>
            <w:vAlign w:val="center"/>
          </w:tcPr>
          <w:p>
            <w:pPr>
              <w:pStyle w:val="TableContents"/>
              <w:bidi w:val="0"/>
              <w:spacing w:before="0" w:after="283"/>
              <w:jc w:val="right"/>
              <w:rPr/>
            </w:pPr>
            <w:r>
              <w:rPr/>
              <w:t>18,456</w:t>
            </w:r>
          </w:p>
        </w:tc>
        <w:tc>
          <w:tcPr>
            <w:tcW w:w="75" w:type="dxa"/>
            <w:tcBorders/>
            <w:shd w:fill="FFFFFF" w:val="clear"/>
            <w:vAlign w:val="center"/>
          </w:tcPr>
          <w:p>
            <w:pPr>
              <w:pStyle w:val="TableContents"/>
              <w:bidi w:val="0"/>
              <w:spacing w:before="0" w:after="283"/>
              <w:jc w:val="left"/>
              <w:rPr/>
            </w:pPr>
            <w:r>
              <w:rPr/>
              <w:t> </w:t>
            </w:r>
            <w:bookmarkStart w:id="309" w:name="xdx_402_eus-gaap--PrepaidExpenseAndOther"/>
            <w:bookmarkEnd w:id="309"/>
          </w:p>
        </w:tc>
      </w:tr>
      <w:tr>
        <w:trPr/>
        <w:tc>
          <w:tcPr>
            <w:tcW w:w="264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3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1,143,145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13" w:type="dxa"/>
            <w:tcBorders>
              <w:bottom w:val="double" w:sz="6" w:space="0" w:color="000000"/>
            </w:tcBorders>
            <w:shd w:fill="CCEEFF" w:val="clear"/>
            <w:tcMar>
              <w:bottom w:w="28" w:type="dxa"/>
            </w:tcMar>
            <w:vAlign w:val="center"/>
          </w:tcPr>
          <w:p>
            <w:pPr>
              <w:pStyle w:val="TableContents"/>
              <w:bidi w:val="0"/>
              <w:spacing w:before="0" w:after="283"/>
              <w:jc w:val="right"/>
              <w:rPr/>
            </w:pPr>
            <w:r>
              <w:rPr/>
              <w:t>619,261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10" w:name="xdx_8A5_zR73i873QrJa"/>
      <w:bookmarkEnd w:id="31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there was a tax receivable of $</w:t>
      </w:r>
      <w:bookmarkStart w:id="311" w:name="xdx_907_eus-gaap--IncomeTaxesReceivable_"/>
      <w:bookmarkEnd w:id="311"/>
      <w:r>
        <w:rPr>
          <w:rFonts w:ascii="Times New Roman;Times;Serif" w:hAnsi="Times New Roman;Times;Serif"/>
          <w:b w:val="false"/>
          <w:i w:val="false"/>
          <w:caps w:val="false"/>
          <w:smallCaps w:val="false"/>
          <w:sz w:val="20"/>
        </w:rPr>
        <w:t>528,554 and $</w:t>
      </w:r>
      <w:bookmarkStart w:id="312" w:name="xdx_900_eus-gaap--IncomeTaxesReceivable_"/>
      <w:bookmarkEnd w:id="312"/>
      <w:r>
        <w:rPr>
          <w:rFonts w:ascii="Times New Roman;Times;Serif" w:hAnsi="Times New Roman;Times;Serif"/>
          <w:b w:val="false"/>
          <w:i w:val="false"/>
          <w:caps w:val="false"/>
          <w:smallCaps w:val="false"/>
          <w:sz w:val="20"/>
        </w:rPr>
        <w:t>223,030, respectively, due to income taxes prepaid by the Company.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13" w:name="xdx_80C_eus-gaap--PropertyPlantAndEquipm"/>
      <w:bookmarkEnd w:id="313"/>
      <w:r>
        <w:rPr>
          <w:rFonts w:ascii="Times New Roman;Times;Serif" w:hAnsi="Times New Roman;Times;Serif"/>
          <w:b/>
          <w:i w:val="false"/>
          <w:caps w:val="false"/>
          <w:smallCaps w:val="false"/>
          <w:sz w:val="20"/>
        </w:rPr>
        <w:t xml:space="preserve">NOTE 5 - </w:t>
      </w:r>
      <w:bookmarkStart w:id="314" w:name="xdx_821_zIVfrJxUU8Od"/>
      <w:bookmarkEnd w:id="314"/>
      <w:r>
        <w:rPr>
          <w:rFonts w:ascii="Times New Roman;Times;Serif" w:hAnsi="Times New Roman;Times;Serif"/>
          <w:b/>
          <w:i w:val="false"/>
          <w:caps w:val="false"/>
          <w:smallCaps w:val="false"/>
          <w:sz w:val="20"/>
        </w:rPr>
        <w:t>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5" w:name="xdx_897_eus-gaap--PropertyPlantAndEquipm"/>
      <w:bookmarkEnd w:id="315"/>
      <w:r>
        <w:rPr>
          <w:rFonts w:ascii="Times New Roman;Times;Serif" w:hAnsi="Times New Roman;Times;Serif"/>
          <w:b w:val="false"/>
          <w:i w:val="false"/>
          <w:caps w:val="false"/>
          <w:smallCaps w:val="false"/>
          <w:sz w:val="20"/>
        </w:rPr>
        <w:t>Property and equipment were comprised of the following as of June 30, 2026 and December 31, 2025, respectively:</w:t>
      </w:r>
    </w:p>
    <w:p>
      <w:pPr>
        <w:pStyle w:val="TextBody"/>
        <w:bidi w:val="0"/>
        <w:spacing w:before="0" w:after="0"/>
        <w:ind w:left="0" w:right="0" w:hanging="0"/>
        <w:jc w:val="both"/>
        <w:rPr>
          <w:caps w:val="false"/>
          <w:smallCaps w:val="false"/>
        </w:rPr>
      </w:pPr>
      <w:r>
        <w:rPr>
          <w:caps w:val="false"/>
          <w:smallCaps w:val="false"/>
        </w:rPr>
        <w:t> </w:t>
      </w:r>
      <w:bookmarkStart w:id="316" w:name="xdx_8B1_ztKx8RMS30Z8"/>
      <w:bookmarkEnd w:id="316"/>
      <w:r>
        <w:rPr>
          <w:rFonts w:ascii="Times New Roman;Times;Serif" w:hAnsi="Times New Roman;Times;Serif"/>
          <w:b w:val="false"/>
          <w:i w:val="false"/>
          <w:caps w:val="false"/>
          <w:smallCaps w:val="false"/>
          <w:sz w:val="20"/>
        </w:rPr>
        <w:t>Schedule of Property and Equipment</w:t>
      </w:r>
    </w:p>
    <w:tbl>
      <w:tblPr>
        <w:tblW w:w="7778" w:type="dxa"/>
        <w:jc w:val="left"/>
        <w:tblInd w:w="0" w:type="dxa"/>
        <w:tblLayout w:type="fixed"/>
        <w:tblCellMar>
          <w:top w:w="0" w:type="dxa"/>
          <w:left w:w="0" w:type="dxa"/>
          <w:bottom w:w="0" w:type="dxa"/>
          <w:right w:w="0" w:type="dxa"/>
        </w:tblCellMar>
      </w:tblPr>
      <w:tblGrid>
        <w:gridCol w:w="4145"/>
        <w:gridCol w:w="60"/>
        <w:gridCol w:w="195"/>
        <w:gridCol w:w="1219"/>
        <w:gridCol w:w="95"/>
        <w:gridCol w:w="60"/>
        <w:gridCol w:w="261"/>
        <w:gridCol w:w="1633"/>
        <w:gridCol w:w="110"/>
      </w:tblGrid>
      <w:tr>
        <w:trPr/>
        <w:tc>
          <w:tcPr>
            <w:tcW w:w="4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17" w:name="xdx_49B_20260630_zSrwJshpbOW3"/>
            <w:bookmarkEnd w:id="317"/>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8" w:name="xdx_49E_20251231_z9Re82w1X8N4"/>
            <w:bookmarkEnd w:id="318"/>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11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bookmarkStart w:id="319" w:name="xdx_408_eus-gaap--PropertyPlantAndEquipm"/>
            <w:bookmarkEnd w:id="319"/>
          </w:p>
        </w:tc>
      </w:tr>
      <w:tr>
        <w:trPr/>
        <w:tc>
          <w:tcPr>
            <w:tcW w:w="4145" w:type="dxa"/>
            <w:tcBorders/>
            <w:shd w:fill="CCEEFF" w:val="clear"/>
            <w:vAlign w:val="center"/>
          </w:tcPr>
          <w:p>
            <w:pPr>
              <w:pStyle w:val="TableContents"/>
              <w:bidi w:val="0"/>
              <w:spacing w:before="0" w:after="283"/>
              <w:jc w:val="left"/>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b/>
              </w:rPr>
            </w:pPr>
            <w:r>
              <w:rPr>
                <w:b/>
              </w:rPr>
              <w:t>$</w:t>
            </w:r>
          </w:p>
        </w:tc>
        <w:tc>
          <w:tcPr>
            <w:tcW w:w="1219" w:type="dxa"/>
            <w:tcBorders/>
            <w:shd w:fill="CCEEFF" w:val="clear"/>
            <w:vAlign w:val="center"/>
          </w:tcPr>
          <w:p>
            <w:pPr>
              <w:pStyle w:val="TableContents"/>
              <w:bidi w:val="0"/>
              <w:spacing w:before="0" w:after="283"/>
              <w:jc w:val="right"/>
              <w:rPr>
                <w:b/>
              </w:rPr>
            </w:pPr>
            <w:r>
              <w:rPr>
                <w:b/>
              </w:rPr>
              <w:t>460,059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w:t>
            </w:r>
          </w:p>
        </w:tc>
        <w:tc>
          <w:tcPr>
            <w:tcW w:w="1633" w:type="dxa"/>
            <w:tcBorders/>
            <w:shd w:fill="CCEEFF" w:val="clear"/>
            <w:vAlign w:val="center"/>
          </w:tcPr>
          <w:p>
            <w:pPr>
              <w:pStyle w:val="TableContents"/>
              <w:bidi w:val="0"/>
              <w:spacing w:before="0" w:after="283"/>
              <w:jc w:val="right"/>
              <w:rPr/>
            </w:pPr>
            <w:r>
              <w:rPr/>
              <w:t>460,477</w:t>
            </w:r>
          </w:p>
        </w:tc>
        <w:tc>
          <w:tcPr>
            <w:tcW w:w="110" w:type="dxa"/>
            <w:tcBorders/>
            <w:shd w:fill="CCEEFF" w:val="clear"/>
            <w:vAlign w:val="center"/>
          </w:tcPr>
          <w:p>
            <w:pPr>
              <w:pStyle w:val="TableContents"/>
              <w:bidi w:val="0"/>
              <w:spacing w:before="0" w:after="283"/>
              <w:jc w:val="left"/>
              <w:rPr/>
            </w:pPr>
            <w:r>
              <w:rPr/>
              <w:t> </w:t>
            </w:r>
            <w:bookmarkStart w:id="320" w:name="xdx_401_eus-gaap--AccumulatedDepreciatio"/>
            <w:bookmarkEnd w:id="320"/>
          </w:p>
        </w:tc>
      </w:tr>
      <w:tr>
        <w:trPr/>
        <w:tc>
          <w:tcPr>
            <w:tcW w:w="4145" w:type="dxa"/>
            <w:tcBorders/>
            <w:shd w:fill="FFFFFF" w:val="clear"/>
            <w:vAlign w:val="center"/>
          </w:tcPr>
          <w:p>
            <w:pPr>
              <w:pStyle w:val="TableContents"/>
              <w:bidi w:val="0"/>
              <w:spacing w:before="0" w:after="283"/>
              <w:jc w:val="left"/>
              <w:rPr/>
            </w:pPr>
            <w:r>
              <w:rPr/>
              <w:t>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(384,268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3" w:type="dxa"/>
            <w:tcBorders>
              <w:bottom w:val="single" w:sz="8" w:space="0" w:color="000000"/>
            </w:tcBorders>
            <w:shd w:fill="FFFFFF" w:val="clear"/>
            <w:tcMar>
              <w:bottom w:w="28" w:type="dxa"/>
            </w:tcMar>
            <w:vAlign w:val="center"/>
          </w:tcPr>
          <w:p>
            <w:pPr>
              <w:pStyle w:val="TableContents"/>
              <w:bidi w:val="0"/>
              <w:spacing w:before="0" w:after="283"/>
              <w:jc w:val="right"/>
              <w:rPr/>
            </w:pPr>
            <w:r>
              <w:rPr/>
              <w:t>(364,560</w:t>
            </w:r>
          </w:p>
        </w:tc>
        <w:tc>
          <w:tcPr>
            <w:tcW w:w="110" w:type="dxa"/>
            <w:tcBorders/>
            <w:shd w:fill="FFFFFF" w:val="clear"/>
            <w:vAlign w:val="center"/>
          </w:tcPr>
          <w:p>
            <w:pPr>
              <w:pStyle w:val="TableContents"/>
              <w:bidi w:val="0"/>
              <w:spacing w:before="0" w:after="283"/>
              <w:jc w:val="left"/>
              <w:rPr/>
            </w:pPr>
            <w:r>
              <w:rPr/>
              <w:t>)</w:t>
            </w:r>
            <w:bookmarkStart w:id="321" w:name="xdx_403_eus-gaap--PropertyPlantAndEquipm"/>
            <w:bookmarkEnd w:id="321"/>
          </w:p>
        </w:tc>
      </w:tr>
      <w:tr>
        <w:trPr/>
        <w:tc>
          <w:tcPr>
            <w:tcW w:w="4145" w:type="dxa"/>
            <w:tcBorders/>
            <w:shd w:fill="CCEEFF" w:val="clear"/>
            <w:vAlign w:val="center"/>
          </w:tcPr>
          <w:p>
            <w:pPr>
              <w:pStyle w:val="TableContents"/>
              <w:bidi w:val="0"/>
              <w:spacing w:before="0" w:after="283"/>
              <w:jc w:val="left"/>
              <w:rPr/>
            </w:pPr>
            <w:r>
              <w:rPr/>
              <w:t>Total property and equipment, net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1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75,791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33" w:type="dxa"/>
            <w:tcBorders>
              <w:bottom w:val="double" w:sz="6" w:space="0" w:color="000000"/>
            </w:tcBorders>
            <w:shd w:fill="CCEEFF" w:val="clear"/>
            <w:tcMar>
              <w:bottom w:w="28" w:type="dxa"/>
            </w:tcMar>
            <w:vAlign w:val="center"/>
          </w:tcPr>
          <w:p>
            <w:pPr>
              <w:pStyle w:val="TableContents"/>
              <w:bidi w:val="0"/>
              <w:spacing w:before="0" w:after="283"/>
              <w:jc w:val="right"/>
              <w:rPr/>
            </w:pPr>
            <w:r>
              <w:rPr/>
              <w:t>95,917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322" w:name="xdx_8A4_zZPmTUJAqZka"/>
      <w:bookmarkEnd w:id="32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Company purchased $</w:t>
      </w:r>
      <w:bookmarkStart w:id="323" w:name="xdx_902_eus-gaap--PaymentsToAcquirePrope"/>
      <w:bookmarkEnd w:id="323"/>
      <w:r>
        <w:rPr>
          <w:rFonts w:ascii="Times New Roman;Times;Serif" w:hAnsi="Times New Roman;Times;Serif"/>
          <w:b w:val="false"/>
          <w:i w:val="false"/>
          <w:caps w:val="false"/>
          <w:smallCaps w:val="false"/>
          <w:sz w:val="20"/>
        </w:rPr>
        <w:t>5,705 and $</w:t>
      </w:r>
      <w:bookmarkStart w:id="324" w:name="xdx_90C_eus-gaap--PaymentsToAcquirePrope"/>
      <w:bookmarkEnd w:id="324"/>
      <w:r>
        <w:rPr>
          <w:rFonts w:ascii="Times New Roman;Times;Serif" w:hAnsi="Times New Roman;Times;Serif"/>
          <w:b w:val="false"/>
          <w:i w:val="false"/>
          <w:caps w:val="false"/>
          <w:smallCaps w:val="false"/>
          <w:sz w:val="20"/>
        </w:rPr>
        <w:t>801 of fixtures and office equipment,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Company had $</w:t>
      </w:r>
      <w:bookmarkStart w:id="325" w:name="xdx_900_eus-gaap--DepreciationAndAmortiz"/>
      <w:bookmarkEnd w:id="325"/>
      <w:r>
        <w:rPr>
          <w:rFonts w:ascii="Times New Roman;Times;Serif" w:hAnsi="Times New Roman;Times;Serif"/>
          <w:b w:val="false"/>
          <w:i w:val="false"/>
          <w:caps w:val="false"/>
          <w:smallCaps w:val="false"/>
          <w:sz w:val="20"/>
        </w:rPr>
        <w:t>24,700 and $</w:t>
      </w:r>
      <w:bookmarkStart w:id="326" w:name="xdx_905_eus-gaap--DepreciationAndAmortiz"/>
      <w:bookmarkEnd w:id="326"/>
      <w:r>
        <w:rPr>
          <w:rFonts w:ascii="Times New Roman;Times;Serif" w:hAnsi="Times New Roman;Times;Serif"/>
          <w:b w:val="false"/>
          <w:i w:val="false"/>
          <w:caps w:val="false"/>
          <w:smallCaps w:val="false"/>
          <w:sz w:val="20"/>
        </w:rPr>
        <w:t>23,517, recorded for depreciation,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ended June 30, 2026 and 2025, the Company had </w:t>
      </w:r>
      <w:bookmarkStart w:id="327" w:name="xdx_906_eus-gaap--ProceedsFromSaleOfProp"/>
      <w:bookmarkStart w:id="328" w:name="xdx_90C_eus-gaap--ProceedsFromSaleOfProp"/>
      <w:bookmarkEnd w:id="327"/>
      <w:bookmarkEnd w:id="328"/>
      <w:r>
        <w:rPr>
          <w:rFonts w:ascii="Times New Roman;Times;Serif" w:hAnsi="Times New Roman;Times;Serif"/>
          <w:b w:val="false"/>
          <w:i w:val="false"/>
          <w:caps w:val="false"/>
          <w:smallCaps w:val="false"/>
          <w:sz w:val="20"/>
        </w:rPr>
        <w:t>no disposal or pledge on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9" w:name="xdx_80C_eus-gaap--AccountsPayableAndAccr"/>
      <w:bookmarkEnd w:id="329"/>
      <w:r>
        <w:rPr>
          <w:rFonts w:ascii="Times New Roman;Times;Serif" w:hAnsi="Times New Roman;Times;Serif"/>
          <w:b/>
          <w:i w:val="false"/>
          <w:caps w:val="false"/>
          <w:smallCaps w:val="false"/>
          <w:sz w:val="20"/>
        </w:rPr>
        <w:t xml:space="preserve">NOTE 6 - </w:t>
      </w:r>
      <w:bookmarkStart w:id="330" w:name="xdx_821_zPEQtSOsyEIi"/>
      <w:bookmarkEnd w:id="330"/>
      <w:r>
        <w:rPr>
          <w:rFonts w:ascii="Times New Roman;Times;Serif" w:hAnsi="Times New Roman;Times;Serif"/>
          <w:b/>
          <w:i w:val="false"/>
          <w:caps w:val="false"/>
          <w:smallCaps w:val="false"/>
          <w:sz w:val="20"/>
        </w:rPr>
        <w:t>Accounts Payable and Credit Cards Payable</w:t>
      </w:r>
    </w:p>
    <w:p>
      <w:pPr>
        <w:pStyle w:val="TextBody"/>
        <w:bidi w:val="0"/>
        <w:spacing w:before="0" w:after="0"/>
        <w:ind w:left="0" w:right="0" w:hanging="0"/>
        <w:jc w:val="both"/>
        <w:rPr>
          <w:caps w:val="false"/>
          <w:smallCaps w:val="false"/>
        </w:rPr>
      </w:pPr>
      <w:bookmarkStart w:id="331" w:name="xdx_89D_eus-gaap--ScheduleOfAccountsPaya"/>
      <w:bookmarkEnd w:id="331"/>
      <w:r>
        <w:rPr>
          <w:caps w:val="false"/>
          <w:smallCaps w:val="false"/>
        </w:rPr>
        <w:t> </w:t>
      </w:r>
      <w:bookmarkStart w:id="332" w:name="xdx_8BC_zqIZeocPgvK5"/>
      <w:bookmarkEnd w:id="332"/>
      <w:r>
        <w:rPr>
          <w:rFonts w:ascii="Times New Roman;Times;Serif" w:hAnsi="Times New Roman;Times;Serif"/>
          <w:b w:val="false"/>
          <w:i w:val="false"/>
          <w:caps w:val="false"/>
          <w:smallCaps w:val="false"/>
          <w:sz w:val="20"/>
        </w:rPr>
        <w:t>Schedule of Accounts Payable and Credit Cards Payable</w:t>
      </w:r>
    </w:p>
    <w:tbl>
      <w:tblPr>
        <w:tblW w:w="5533" w:type="dxa"/>
        <w:jc w:val="left"/>
        <w:tblInd w:w="0" w:type="dxa"/>
        <w:tblLayout w:type="fixed"/>
        <w:tblCellMar>
          <w:top w:w="0" w:type="dxa"/>
          <w:left w:w="0" w:type="dxa"/>
          <w:bottom w:w="0" w:type="dxa"/>
          <w:right w:w="0" w:type="dxa"/>
        </w:tblCellMar>
      </w:tblPr>
      <w:tblGrid>
        <w:gridCol w:w="1970"/>
        <w:gridCol w:w="60"/>
        <w:gridCol w:w="176"/>
        <w:gridCol w:w="1238"/>
        <w:gridCol w:w="60"/>
        <w:gridCol w:w="60"/>
        <w:gridCol w:w="236"/>
        <w:gridCol w:w="1658"/>
        <w:gridCol w:w="75"/>
      </w:tblGrid>
      <w:tr>
        <w:trPr/>
        <w:tc>
          <w:tcPr>
            <w:tcW w:w="1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33" w:name="xdx_494_20260630_zEzZfFs8Asch"/>
            <w:bookmarkEnd w:id="333"/>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4" w:name="xdx_49B_20251231_z55fZaPmGKmf"/>
            <w:bookmarkEnd w:id="334"/>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bookmarkStart w:id="335" w:name="xdx_407_eus-gaap--AccountsPayableCurrent"/>
            <w:bookmarkEnd w:id="335"/>
          </w:p>
        </w:tc>
      </w:tr>
      <w:tr>
        <w:trPr/>
        <w:tc>
          <w:tcPr>
            <w:tcW w:w="197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b/>
              </w:rPr>
            </w:pPr>
            <w:r>
              <w:rPr>
                <w:b/>
              </w:rPr>
              <w:t>$</w:t>
            </w:r>
          </w:p>
        </w:tc>
        <w:tc>
          <w:tcPr>
            <w:tcW w:w="1238" w:type="dxa"/>
            <w:tcBorders/>
            <w:shd w:fill="CCEEFF" w:val="clear"/>
            <w:vAlign w:val="center"/>
          </w:tcPr>
          <w:p>
            <w:pPr>
              <w:pStyle w:val="TableContents"/>
              <w:bidi w:val="0"/>
              <w:spacing w:before="0" w:after="283"/>
              <w:jc w:val="right"/>
              <w:rPr>
                <w:b/>
              </w:rPr>
            </w:pPr>
            <w:r>
              <w:rPr>
                <w:b/>
              </w:rPr>
              <w:t>8,454,369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658" w:type="dxa"/>
            <w:tcBorders/>
            <w:shd w:fill="CCEEFF" w:val="clear"/>
            <w:vAlign w:val="center"/>
          </w:tcPr>
          <w:p>
            <w:pPr>
              <w:pStyle w:val="TableContents"/>
              <w:bidi w:val="0"/>
              <w:spacing w:before="0" w:after="283"/>
              <w:jc w:val="right"/>
              <w:rPr/>
            </w:pPr>
            <w:r>
              <w:rPr/>
              <w:t>6,200,526</w:t>
            </w:r>
          </w:p>
        </w:tc>
        <w:tc>
          <w:tcPr>
            <w:tcW w:w="75" w:type="dxa"/>
            <w:tcBorders/>
            <w:shd w:fill="CCEEFF" w:val="clear"/>
            <w:vAlign w:val="center"/>
          </w:tcPr>
          <w:p>
            <w:pPr>
              <w:pStyle w:val="TableContents"/>
              <w:bidi w:val="0"/>
              <w:spacing w:before="0" w:after="283"/>
              <w:jc w:val="left"/>
              <w:rPr/>
            </w:pPr>
            <w:r>
              <w:rPr/>
              <w:t> </w:t>
            </w:r>
            <w:bookmarkStart w:id="336" w:name="xdx_406_ecustom--CreditCardsPayable_iI_z"/>
            <w:bookmarkEnd w:id="336"/>
          </w:p>
        </w:tc>
      </w:tr>
      <w:tr>
        <w:trPr/>
        <w:tc>
          <w:tcPr>
            <w:tcW w:w="1970" w:type="dxa"/>
            <w:tcBorders/>
            <w:shd w:fill="FFFFFF" w:val="clear"/>
            <w:vAlign w:val="center"/>
          </w:tcPr>
          <w:p>
            <w:pPr>
              <w:pStyle w:val="TableContents"/>
              <w:bidi w:val="0"/>
              <w:spacing w:before="0" w:after="283"/>
              <w:jc w:val="left"/>
              <w:rPr/>
            </w:pPr>
            <w:r>
              <w:rPr/>
              <w:t>Credit cards payable</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238" w:type="dxa"/>
            <w:tcBorders/>
            <w:shd w:fill="FFFFFF" w:val="clear"/>
            <w:vAlign w:val="center"/>
          </w:tcPr>
          <w:p>
            <w:pPr>
              <w:pStyle w:val="TableContents"/>
              <w:bidi w:val="0"/>
              <w:spacing w:before="0" w:after="283"/>
              <w:jc w:val="right"/>
              <w:rPr>
                <w:b/>
              </w:rPr>
            </w:pPr>
            <w:r>
              <w:rPr>
                <w:b/>
              </w:rPr>
              <w:t>3,666,375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pPr>
            <w:r>
              <w:rPr/>
              <w:t>3,707,976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37" w:name="xdx_8AC_zUPXOYSe9bF4"/>
      <w:bookmarkEnd w:id="33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accounts payable represent amounts owed to suppliers or other creditors for goods or services purchased but not yet paid for. As of June 30, 2026 and December 31, 2025, there were accounts payable of $</w:t>
      </w:r>
      <w:bookmarkStart w:id="338" w:name="xdx_907_eus-gaap--AccountsPayableCurrent"/>
      <w:bookmarkEnd w:id="338"/>
      <w:r>
        <w:rPr>
          <w:rFonts w:ascii="Times New Roman;Times;Serif" w:hAnsi="Times New Roman;Times;Serif"/>
          <w:b w:val="false"/>
          <w:i w:val="false"/>
          <w:caps w:val="false"/>
          <w:smallCaps w:val="false"/>
          <w:sz w:val="20"/>
        </w:rPr>
        <w:t>8,454,369 and $</w:t>
      </w:r>
      <w:bookmarkStart w:id="339" w:name="xdx_908_eus-gaap--AccountsPayableCurrent"/>
      <w:bookmarkEnd w:id="339"/>
      <w:r>
        <w:rPr>
          <w:rFonts w:ascii="Times New Roman;Times;Serif" w:hAnsi="Times New Roman;Times;Serif"/>
          <w:b w:val="false"/>
          <w:i w:val="false"/>
          <w:caps w:val="false"/>
          <w:smallCaps w:val="false"/>
          <w:sz w:val="20"/>
        </w:rPr>
        <w:t>6,200,526,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credit cards payable consisted of outstanding balances on credit cards held by the Company. As of June 30, 2026 and December 31, 2025, there were credit cards payable of $</w:t>
      </w:r>
      <w:bookmarkStart w:id="340" w:name="xdx_902_ecustom--CreditCardsPayable_iI_c"/>
      <w:bookmarkEnd w:id="340"/>
      <w:r>
        <w:rPr>
          <w:rFonts w:ascii="Times New Roman;Times;Serif" w:hAnsi="Times New Roman;Times;Serif"/>
          <w:b w:val="false"/>
          <w:i w:val="false"/>
          <w:caps w:val="false"/>
          <w:smallCaps w:val="false"/>
          <w:sz w:val="20"/>
        </w:rPr>
        <w:t>3,666,375 and $</w:t>
      </w:r>
      <w:bookmarkStart w:id="341" w:name="xdx_90E_ecustom--CreditCardsPayable_iI_c"/>
      <w:bookmarkEnd w:id="341"/>
      <w:r>
        <w:rPr>
          <w:rFonts w:ascii="Times New Roman;Times;Serif" w:hAnsi="Times New Roman;Times;Serif"/>
          <w:b w:val="false"/>
          <w:i w:val="false"/>
          <w:caps w:val="false"/>
          <w:smallCaps w:val="false"/>
          <w:sz w:val="20"/>
        </w:rPr>
        <w:t>3,707,976,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2" w:name="xdx_804_eus-gaap--DebtDisclosureTextBloc"/>
      <w:bookmarkEnd w:id="342"/>
      <w:r>
        <w:rPr>
          <w:rFonts w:ascii="Times New Roman;Times;Serif" w:hAnsi="Times New Roman;Times;Serif"/>
          <w:b/>
          <w:i w:val="false"/>
          <w:caps w:val="false"/>
          <w:smallCaps w:val="false"/>
          <w:sz w:val="20"/>
        </w:rPr>
        <w:t xml:space="preserve">NOTE 7 - </w:t>
      </w:r>
      <w:bookmarkStart w:id="343" w:name="xdx_82C_zcHX1kLv2aK1"/>
      <w:bookmarkEnd w:id="343"/>
      <w:r>
        <w:rPr>
          <w:rFonts w:ascii="Times New Roman;Times;Serif" w:hAnsi="Times New Roman;Times;Serif"/>
          <w:b/>
          <w:i w:val="false"/>
          <w:caps w:val="false"/>
          <w:smallCaps w:val="false"/>
          <w:sz w:val="20"/>
        </w:rPr>
        <w:t>Short-Term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Line of Credit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2022, Flywheel entered into a line of credit agreement in the amount of $</w:t>
      </w:r>
      <w:bookmarkStart w:id="344" w:name="xdx_902_eus-gaap--LineOfCredit_iI_c20220"/>
      <w:bookmarkEnd w:id="344"/>
      <w:r>
        <w:rPr>
          <w:rFonts w:ascii="Times New Roman;Times;Serif" w:hAnsi="Times New Roman;Times;Serif"/>
          <w:b w:val="false"/>
          <w:i w:val="false"/>
          <w:caps w:val="false"/>
          <w:smallCaps w:val="false"/>
          <w:sz w:val="20"/>
        </w:rPr>
        <w:t xml:space="preserve">6,940,063 with Taishin International Bank (“Taishin”). As amended, the line of credit matures on November 13, 2026 and bears interest at a rate of </w:t>
      </w:r>
      <w:bookmarkStart w:id="345" w:name="xdx_905_eus-gaap--LineOfCreditFacilityIn"/>
      <w:bookmarkEnd w:id="345"/>
      <w:r>
        <w:rPr>
          <w:rFonts w:ascii="Times New Roman;Times;Serif" w:hAnsi="Times New Roman;Times;Serif"/>
          <w:b w:val="false"/>
          <w:i w:val="false"/>
          <w:caps w:val="false"/>
          <w:smallCaps w:val="false"/>
          <w:sz w:val="20"/>
        </w:rPr>
        <w:t>3.42% per annum.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outstanding balance under the Taishin line of credit was $</w:t>
      </w:r>
      <w:bookmarkStart w:id="346" w:name="xdx_903_eus-gaap--LineOfCredit_iI_c20260"/>
      <w:bookmarkEnd w:id="346"/>
      <w:r>
        <w:rPr>
          <w:rFonts w:ascii="Times New Roman;Times;Serif" w:hAnsi="Times New Roman;Times;Serif"/>
          <w:b w:val="false"/>
          <w:i w:val="false"/>
          <w:caps w:val="false"/>
          <w:smallCaps w:val="false"/>
          <w:sz w:val="20"/>
        </w:rPr>
        <w:t>628,931 and $</w:t>
      </w:r>
      <w:bookmarkStart w:id="347" w:name="xdx_908_eus-gaap--LineOfCredit_iI_c20251"/>
      <w:bookmarkEnd w:id="347"/>
      <w:r>
        <w:rPr>
          <w:rFonts w:ascii="Times New Roman;Times;Serif" w:hAnsi="Times New Roman;Times;Serif"/>
          <w:b w:val="false"/>
          <w:i w:val="false"/>
          <w:caps w:val="false"/>
          <w:smallCaps w:val="false"/>
          <w:sz w:val="20"/>
        </w:rPr>
        <w:t>637,348,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8" w:name="xdx_807_eus-gaap--AccountsPayableAccrued"/>
      <w:bookmarkEnd w:id="348"/>
      <w:r>
        <w:rPr>
          <w:rFonts w:ascii="Times New Roman;Times;Serif" w:hAnsi="Times New Roman;Times;Serif"/>
          <w:b/>
          <w:i w:val="false"/>
          <w:caps w:val="false"/>
          <w:smallCaps w:val="false"/>
          <w:sz w:val="20"/>
        </w:rPr>
        <w:t xml:space="preserve">NOTE 8 - </w:t>
      </w:r>
      <w:bookmarkStart w:id="349" w:name="xdx_826_zxImWZwD84Gb"/>
      <w:bookmarkEnd w:id="349"/>
      <w:r>
        <w:rPr>
          <w:rFonts w:ascii="Times New Roman;Times;Serif" w:hAnsi="Times New Roman;Times;Serif"/>
          <w:b/>
          <w:i w:val="false"/>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50" w:name="xdx_895_eus-gaap--ScheduleOfAccruedLiabi"/>
      <w:bookmarkEnd w:id="350"/>
      <w:r>
        <w:rPr>
          <w:rFonts w:ascii="Times New Roman;Times;Serif" w:hAnsi="Times New Roman;Times;Serif"/>
          <w:b w:val="false"/>
          <w:i w:val="false"/>
          <w:caps w:val="false"/>
          <w:smallCaps w:val="false"/>
          <w:sz w:val="20"/>
        </w:rPr>
        <w:t>Accrued expenses and other current liabilities were comprised of the following as of June 30, 2026 and December 31, 2025, respectively:</w:t>
      </w:r>
    </w:p>
    <w:p>
      <w:pPr>
        <w:pStyle w:val="TextBody"/>
        <w:bidi w:val="0"/>
        <w:spacing w:before="0" w:after="0"/>
        <w:ind w:left="0" w:right="0" w:hanging="0"/>
        <w:jc w:val="both"/>
        <w:rPr>
          <w:caps w:val="false"/>
          <w:smallCaps w:val="false"/>
        </w:rPr>
      </w:pPr>
      <w:r>
        <w:rPr>
          <w:caps w:val="false"/>
          <w:smallCaps w:val="false"/>
        </w:rPr>
        <w:t> </w:t>
      </w:r>
      <w:bookmarkStart w:id="351" w:name="xdx_8B6_zlDfFKQSwL67"/>
      <w:bookmarkEnd w:id="351"/>
      <w:r>
        <w:rPr>
          <w:rFonts w:ascii="Times New Roman;Times;Serif" w:hAnsi="Times New Roman;Times;Serif"/>
          <w:b w:val="false"/>
          <w:i w:val="false"/>
          <w:caps w:val="false"/>
          <w:smallCaps w:val="false"/>
          <w:sz w:val="20"/>
        </w:rPr>
        <w:t>Schedule of Accrued Expenses and Other Current Liabilities</w:t>
      </w:r>
    </w:p>
    <w:tbl>
      <w:tblPr>
        <w:tblW w:w="5323" w:type="dxa"/>
        <w:jc w:val="left"/>
        <w:tblInd w:w="0" w:type="dxa"/>
        <w:tblLayout w:type="fixed"/>
        <w:tblCellMar>
          <w:top w:w="0" w:type="dxa"/>
          <w:left w:w="0" w:type="dxa"/>
          <w:bottom w:w="0" w:type="dxa"/>
          <w:right w:w="0" w:type="dxa"/>
        </w:tblCellMar>
      </w:tblPr>
      <w:tblGrid>
        <w:gridCol w:w="1760"/>
        <w:gridCol w:w="60"/>
        <w:gridCol w:w="210"/>
        <w:gridCol w:w="1204"/>
        <w:gridCol w:w="60"/>
        <w:gridCol w:w="60"/>
        <w:gridCol w:w="236"/>
        <w:gridCol w:w="1658"/>
        <w:gridCol w:w="75"/>
      </w:tblGrid>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52" w:name="xdx_496_20260630_zIwSWvHN1PY8"/>
            <w:bookmarkEnd w:id="352"/>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3" w:name="xdx_495_20251231_zNxAnaPZW3w5"/>
            <w:bookmarkEnd w:id="353"/>
          </w:p>
        </w:tc>
        <w:tc>
          <w:tcPr>
            <w:tcW w:w="1894" w:type="dxa"/>
            <w:gridSpan w:val="2"/>
            <w:tcBorders>
              <w:bottom w:val="single" w:sz="8" w:space="0" w:color="000000"/>
            </w:tcBorders>
            <w:tcMar>
              <w:bottom w:w="28" w:type="dxa"/>
            </w:tcMar>
            <w:vAlign w:val="center"/>
          </w:tcPr>
          <w:p>
            <w:pPr>
              <w:pStyle w:val="TableContents"/>
              <w:bidi w:val="0"/>
              <w:spacing w:before="0" w:after="283"/>
              <w:jc w:val="center"/>
              <w:rPr/>
            </w:pPr>
            <w:r>
              <w:rPr/>
              <w:t>December 31, 2025</w:t>
            </w:r>
          </w:p>
        </w:tc>
        <w:tc>
          <w:tcPr>
            <w:tcW w:w="7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4"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bookmarkStart w:id="354" w:name="xdx_40A_ecustom--AccruedSalesTaxPayableC"/>
            <w:bookmarkEnd w:id="354"/>
          </w:p>
        </w:tc>
      </w:tr>
      <w:tr>
        <w:trPr/>
        <w:tc>
          <w:tcPr>
            <w:tcW w:w="1760" w:type="dxa"/>
            <w:tcBorders/>
            <w:shd w:fill="CCEEFF" w:val="clear"/>
            <w:vAlign w:val="center"/>
          </w:tcPr>
          <w:p>
            <w:pPr>
              <w:pStyle w:val="TableContents"/>
              <w:bidi w:val="0"/>
              <w:spacing w:before="0" w:after="283"/>
              <w:jc w:val="left"/>
              <w:rPr/>
            </w:pPr>
            <w:r>
              <w:rPr/>
              <w:t>Sales tax payable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b/>
              </w:rPr>
            </w:pPr>
            <w:r>
              <w:rPr>
                <w:b/>
              </w:rPr>
              <w:t>$</w:t>
            </w:r>
          </w:p>
        </w:tc>
        <w:tc>
          <w:tcPr>
            <w:tcW w:w="1204" w:type="dxa"/>
            <w:tcBorders/>
            <w:shd w:fill="CCEEFF" w:val="clear"/>
            <w:vAlign w:val="center"/>
          </w:tcPr>
          <w:p>
            <w:pPr>
              <w:pStyle w:val="TableContents"/>
              <w:bidi w:val="0"/>
              <w:spacing w:before="0" w:after="283"/>
              <w:jc w:val="right"/>
              <w:rPr>
                <w:b/>
              </w:rPr>
            </w:pPr>
            <w:r>
              <w:rPr>
                <w:b/>
              </w:rPr>
              <w:t>4,917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658" w:type="dxa"/>
            <w:tcBorders/>
            <w:shd w:fill="CCEEFF" w:val="clear"/>
            <w:vAlign w:val="center"/>
          </w:tcPr>
          <w:p>
            <w:pPr>
              <w:pStyle w:val="TableContents"/>
              <w:bidi w:val="0"/>
              <w:spacing w:before="0" w:after="283"/>
              <w:jc w:val="right"/>
              <w:rPr/>
            </w:pPr>
            <w:r>
              <w:rPr/>
              <w:t>16,069</w:t>
            </w:r>
          </w:p>
        </w:tc>
        <w:tc>
          <w:tcPr>
            <w:tcW w:w="75" w:type="dxa"/>
            <w:tcBorders/>
            <w:shd w:fill="CCEEFF" w:val="clear"/>
            <w:vAlign w:val="center"/>
          </w:tcPr>
          <w:p>
            <w:pPr>
              <w:pStyle w:val="TableContents"/>
              <w:bidi w:val="0"/>
              <w:spacing w:before="0" w:after="283"/>
              <w:jc w:val="left"/>
              <w:rPr/>
            </w:pPr>
            <w:r>
              <w:rPr/>
              <w:t> </w:t>
            </w:r>
            <w:bookmarkStart w:id="355" w:name="xdx_40C_eus-gaap--ContractWithCustomerRe"/>
            <w:bookmarkEnd w:id="355"/>
          </w:p>
        </w:tc>
      </w:tr>
      <w:tr>
        <w:trPr/>
        <w:tc>
          <w:tcPr>
            <w:tcW w:w="1760" w:type="dxa"/>
            <w:tcBorders/>
            <w:shd w:fill="FFFFFF" w:val="clear"/>
            <w:vAlign w:val="center"/>
          </w:tcPr>
          <w:p>
            <w:pPr>
              <w:pStyle w:val="TableContents"/>
              <w:bidi w:val="0"/>
              <w:spacing w:before="0" w:after="283"/>
              <w:jc w:val="left"/>
              <w:rPr/>
            </w:pPr>
            <w:r>
              <w:rPr/>
              <w:t>Refund liability</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pPr>
            <w:r>
              <w:rPr/>
              <w:t>729,320</w:t>
            </w:r>
          </w:p>
        </w:tc>
        <w:tc>
          <w:tcPr>
            <w:tcW w:w="75" w:type="dxa"/>
            <w:tcBorders/>
            <w:shd w:fill="FFFFFF" w:val="clear"/>
            <w:vAlign w:val="center"/>
          </w:tcPr>
          <w:p>
            <w:pPr>
              <w:pStyle w:val="TableContents"/>
              <w:bidi w:val="0"/>
              <w:spacing w:before="0" w:after="283"/>
              <w:jc w:val="left"/>
              <w:rPr/>
            </w:pPr>
            <w:r>
              <w:rPr/>
              <w:t> </w:t>
            </w:r>
            <w:bookmarkStart w:id="356" w:name="xdx_40D_eus-gaap--AccruedSalariesCurrent"/>
            <w:bookmarkEnd w:id="356"/>
          </w:p>
        </w:tc>
      </w:tr>
      <w:tr>
        <w:trPr/>
        <w:tc>
          <w:tcPr>
            <w:tcW w:w="1760" w:type="dxa"/>
            <w:tcBorders/>
            <w:shd w:fill="CCEEFF" w:val="clear"/>
            <w:vAlign w:val="center"/>
          </w:tcPr>
          <w:p>
            <w:pPr>
              <w:pStyle w:val="TableContents"/>
              <w:bidi w:val="0"/>
              <w:spacing w:before="0" w:after="283"/>
              <w:jc w:val="left"/>
              <w:rPr/>
            </w:pPr>
            <w:r>
              <w:rPr/>
              <w:t>Accrued payroll</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b/>
              </w:rPr>
            </w:pPr>
            <w:r>
              <w:rPr>
                <w:b/>
              </w:rPr>
              <w:t>317,502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354,362</w:t>
            </w:r>
          </w:p>
        </w:tc>
        <w:tc>
          <w:tcPr>
            <w:tcW w:w="75" w:type="dxa"/>
            <w:tcBorders/>
            <w:shd w:fill="CCEEFF" w:val="clear"/>
            <w:vAlign w:val="center"/>
          </w:tcPr>
          <w:p>
            <w:pPr>
              <w:pStyle w:val="TableContents"/>
              <w:bidi w:val="0"/>
              <w:spacing w:before="0" w:after="283"/>
              <w:jc w:val="left"/>
              <w:rPr/>
            </w:pPr>
            <w:r>
              <w:rPr/>
              <w:t> </w:t>
            </w:r>
            <w:bookmarkStart w:id="357" w:name="xdx_40B_eus-gaap--AccruedBonusesCurrent_"/>
            <w:bookmarkEnd w:id="357"/>
          </w:p>
        </w:tc>
      </w:tr>
      <w:tr>
        <w:trPr/>
        <w:tc>
          <w:tcPr>
            <w:tcW w:w="1760" w:type="dxa"/>
            <w:tcBorders/>
            <w:shd w:fill="FFFFFF" w:val="clear"/>
            <w:vAlign w:val="center"/>
          </w:tcPr>
          <w:p>
            <w:pPr>
              <w:pStyle w:val="TableContents"/>
              <w:bidi w:val="0"/>
              <w:spacing w:before="0" w:after="283"/>
              <w:jc w:val="left"/>
              <w:rPr/>
            </w:pPr>
            <w:r>
              <w:rPr/>
              <w:t>Accrued bonus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b/>
              </w:rPr>
            </w:pPr>
            <w:r>
              <w:rPr>
                <w:b/>
              </w:rPr>
              <w:t>223,270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pPr>
            <w:r>
              <w:rPr/>
              <w:t>782,612</w:t>
            </w:r>
          </w:p>
        </w:tc>
        <w:tc>
          <w:tcPr>
            <w:tcW w:w="75" w:type="dxa"/>
            <w:tcBorders/>
            <w:shd w:fill="FFFFFF" w:val="clear"/>
            <w:vAlign w:val="center"/>
          </w:tcPr>
          <w:p>
            <w:pPr>
              <w:pStyle w:val="TableContents"/>
              <w:bidi w:val="0"/>
              <w:spacing w:before="0" w:after="283"/>
              <w:jc w:val="left"/>
              <w:rPr/>
            </w:pPr>
            <w:r>
              <w:rPr/>
              <w:t> </w:t>
            </w:r>
            <w:bookmarkStart w:id="358" w:name="xdx_401_eus-gaap--AccruedLiabilitiesCurr"/>
            <w:bookmarkEnd w:id="358"/>
          </w:p>
        </w:tc>
      </w:tr>
      <w:tr>
        <w:trPr/>
        <w:tc>
          <w:tcPr>
            <w:tcW w:w="1760" w:type="dxa"/>
            <w:tcBorders/>
            <w:shd w:fill="CCEEFF" w:val="clear"/>
            <w:vAlign w:val="center"/>
          </w:tcPr>
          <w:p>
            <w:pPr>
              <w:pStyle w:val="TableContents"/>
              <w:bidi w:val="0"/>
              <w:spacing w:before="0" w:after="283"/>
              <w:jc w:val="left"/>
              <w:rPr/>
            </w:pPr>
            <w:r>
              <w:rPr/>
              <w:t>Accrued expenses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b/>
              </w:rPr>
            </w:pPr>
            <w:r>
              <w:rPr>
                <w:b/>
              </w:rPr>
              <w:t>197,606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658" w:type="dxa"/>
            <w:tcBorders/>
            <w:shd w:fill="CCEEFF" w:val="clear"/>
            <w:vAlign w:val="center"/>
          </w:tcPr>
          <w:p>
            <w:pPr>
              <w:pStyle w:val="TableContents"/>
              <w:bidi w:val="0"/>
              <w:spacing w:before="0" w:after="283"/>
              <w:jc w:val="right"/>
              <w:rPr/>
            </w:pPr>
            <w:r>
              <w:rPr/>
              <w:t>268,155</w:t>
            </w:r>
          </w:p>
        </w:tc>
        <w:tc>
          <w:tcPr>
            <w:tcW w:w="75" w:type="dxa"/>
            <w:tcBorders/>
            <w:shd w:fill="CCEEFF" w:val="clear"/>
            <w:vAlign w:val="center"/>
          </w:tcPr>
          <w:p>
            <w:pPr>
              <w:pStyle w:val="TableContents"/>
              <w:bidi w:val="0"/>
              <w:spacing w:before="0" w:after="283"/>
              <w:jc w:val="left"/>
              <w:rPr/>
            </w:pPr>
            <w:r>
              <w:rPr/>
              <w:t> </w:t>
            </w:r>
            <w:bookmarkStart w:id="359" w:name="xdx_407_eus-gaap--InterestAndDividendsPa"/>
            <w:bookmarkEnd w:id="359"/>
          </w:p>
        </w:tc>
      </w:tr>
      <w:tr>
        <w:trPr/>
        <w:tc>
          <w:tcPr>
            <w:tcW w:w="1760" w:type="dxa"/>
            <w:tcBorders/>
            <w:shd w:fill="FFFFFF" w:val="clear"/>
            <w:vAlign w:val="center"/>
          </w:tcPr>
          <w:p>
            <w:pPr>
              <w:pStyle w:val="TableContents"/>
              <w:bidi w:val="0"/>
              <w:spacing w:before="0" w:after="283"/>
              <w:jc w:val="left"/>
              <w:rPr/>
            </w:pPr>
            <w:r>
              <w:rPr/>
              <w:t>Accrued interest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right"/>
              <w:rPr>
                <w:b/>
              </w:rPr>
            </w:pPr>
            <w:r>
              <w:rPr>
                <w:b/>
              </w:rPr>
              <w:t>69,526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658"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60" w:name="xdx_40B_eus-gaap--AccountsPayableOtherCu"/>
            <w:bookmarkEnd w:id="360"/>
          </w:p>
        </w:tc>
      </w:tr>
      <w:tr>
        <w:trPr/>
        <w:tc>
          <w:tcPr>
            <w:tcW w:w="1760" w:type="dxa"/>
            <w:tcBorders/>
            <w:shd w:fill="CCEEFF" w:val="clear"/>
            <w:vAlign w:val="center"/>
          </w:tcPr>
          <w:p>
            <w:pPr>
              <w:pStyle w:val="TableContents"/>
              <w:bidi w:val="0"/>
              <w:spacing w:before="0" w:after="283"/>
              <w:jc w:val="left"/>
              <w:rPr/>
            </w:pPr>
            <w:r>
              <w:rPr/>
              <w:t>Other payables</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58" w:type="dxa"/>
            <w:tcBorders>
              <w:bottom w:val="single" w:sz="8" w:space="0" w:color="000000"/>
            </w:tcBorders>
            <w:shd w:fill="CCEEFF" w:val="clear"/>
            <w:tcMar>
              <w:bottom w:w="28" w:type="dxa"/>
            </w:tcMar>
            <w:vAlign w:val="center"/>
          </w:tcPr>
          <w:p>
            <w:pPr>
              <w:pStyle w:val="TableContents"/>
              <w:bidi w:val="0"/>
              <w:spacing w:before="0" w:after="283"/>
              <w:jc w:val="right"/>
              <w:rPr/>
            </w:pPr>
            <w:r>
              <w:rPr/>
              <w:t>75,869</w:t>
            </w:r>
          </w:p>
        </w:tc>
        <w:tc>
          <w:tcPr>
            <w:tcW w:w="75" w:type="dxa"/>
            <w:tcBorders/>
            <w:shd w:fill="CCEEFF" w:val="clear"/>
            <w:vAlign w:val="center"/>
          </w:tcPr>
          <w:p>
            <w:pPr>
              <w:pStyle w:val="TableContents"/>
              <w:bidi w:val="0"/>
              <w:spacing w:before="0" w:after="283"/>
              <w:jc w:val="left"/>
              <w:rPr/>
            </w:pPr>
            <w:r>
              <w:rPr/>
              <w:t> </w:t>
            </w:r>
            <w:bookmarkStart w:id="361" w:name="xdx_400_eus-gaap--AccruedLiabilitiesAndO"/>
            <w:bookmarkEnd w:id="361"/>
          </w:p>
        </w:tc>
      </w:tr>
      <w:tr>
        <w:trPr/>
        <w:tc>
          <w:tcPr>
            <w:tcW w:w="176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0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833,051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58" w:type="dxa"/>
            <w:tcBorders>
              <w:bottom w:val="double" w:sz="6" w:space="0" w:color="000000"/>
            </w:tcBorders>
            <w:shd w:fill="FFFFFF" w:val="clear"/>
            <w:tcMar>
              <w:bottom w:w="28" w:type="dxa"/>
            </w:tcMar>
            <w:vAlign w:val="center"/>
          </w:tcPr>
          <w:p>
            <w:pPr>
              <w:pStyle w:val="TableContents"/>
              <w:bidi w:val="0"/>
              <w:spacing w:before="0" w:after="283"/>
              <w:jc w:val="right"/>
              <w:rPr/>
            </w:pPr>
            <w:r>
              <w:rPr/>
              <w:t>2,226,387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62" w:name="xdx_8A3_zesvDE5eLClb"/>
      <w:bookmarkEnd w:id="362"/>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has accrued $</w:t>
      </w:r>
      <w:bookmarkStart w:id="363" w:name="xdx_905_eus-gaap--ContractWithCustomerRe"/>
      <w:bookmarkEnd w:id="363"/>
      <w:r>
        <w:rPr>
          <w:rFonts w:ascii="Times New Roman;Times;Serif" w:hAnsi="Times New Roman;Times;Serif"/>
          <w:b w:val="false"/>
          <w:i w:val="false"/>
          <w:caps w:val="false"/>
          <w:smallCaps w:val="false"/>
          <w:sz w:val="20"/>
        </w:rPr>
        <w:t>0 and $</w:t>
      </w:r>
      <w:bookmarkStart w:id="364" w:name="xdx_906_eus-gaap--ContractWithCustomerRe"/>
      <w:bookmarkEnd w:id="364"/>
      <w:r>
        <w:rPr>
          <w:rFonts w:ascii="Times New Roman;Times;Serif" w:hAnsi="Times New Roman;Times;Serif"/>
          <w:b w:val="false"/>
          <w:i w:val="false"/>
          <w:caps w:val="false"/>
          <w:smallCaps w:val="false"/>
          <w:sz w:val="20"/>
        </w:rPr>
        <w:t>729,320, respectively, in a proactive approach towards potential future refunds.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bonus expense is accrued on an annual basis, when the Company’s financial or operational performance meets the required performance level. The Company has $</w:t>
      </w:r>
      <w:bookmarkStart w:id="365" w:name="xdx_90D_eus-gaap--AccruedBonusesCurrent_"/>
      <w:bookmarkEnd w:id="365"/>
      <w:r>
        <w:rPr>
          <w:rFonts w:ascii="Times New Roman;Times;Serif" w:hAnsi="Times New Roman;Times;Serif"/>
          <w:b w:val="false"/>
          <w:i w:val="false"/>
          <w:caps w:val="false"/>
          <w:smallCaps w:val="false"/>
          <w:sz w:val="20"/>
        </w:rPr>
        <w:t>223,270 and $</w:t>
      </w:r>
      <w:bookmarkStart w:id="366" w:name="xdx_90C_eus-gaap--AccruedBonusesCurrent_"/>
      <w:bookmarkEnd w:id="366"/>
      <w:r>
        <w:rPr>
          <w:rFonts w:ascii="Times New Roman;Times;Serif" w:hAnsi="Times New Roman;Times;Serif"/>
          <w:b w:val="false"/>
          <w:i w:val="false"/>
          <w:caps w:val="false"/>
          <w:smallCaps w:val="false"/>
          <w:sz w:val="20"/>
        </w:rPr>
        <w:t>782,612 accrued for bonuses as of June 30, 2026 and December 31,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7" w:name="xdx_806_eus-gaap--LesseeOperatingLeasesT"/>
      <w:bookmarkEnd w:id="367"/>
      <w:r>
        <w:rPr>
          <w:rFonts w:ascii="Times New Roman;Times;Serif" w:hAnsi="Times New Roman;Times;Serif"/>
          <w:b/>
          <w:i w:val="false"/>
          <w:caps w:val="false"/>
          <w:smallCaps w:val="false"/>
          <w:sz w:val="20"/>
        </w:rPr>
        <w:t xml:space="preserve">NOTE 9 - </w:t>
      </w:r>
      <w:bookmarkStart w:id="368" w:name="xdx_82D_zqgfhYEj3Ov4"/>
      <w:bookmarkEnd w:id="368"/>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two operating leases (Flywheel’s office leases in Taiwan) as of June 30, 2026. The leased assets in Flywheel are presented as operating lease right-of-use assets.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9" w:name="xdx_895_eus-gaap--LeaseCostTableTextBloc"/>
      <w:bookmarkEnd w:id="369"/>
      <w:r>
        <w:rPr>
          <w:rFonts w:ascii="Times New Roman;Times;Serif" w:hAnsi="Times New Roman;Times;Serif"/>
          <w:b w:val="false"/>
          <w:i w:val="false"/>
          <w:caps w:val="false"/>
          <w:smallCaps w:val="false"/>
          <w:sz w:val="20"/>
        </w:rPr>
        <w:t>The table below reconciles the fixed component of the undiscounted cash flows for each of the first five years and the total remaining years to the operating lease liabilities recorded in the statements of financial position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70" w:name="xdx_8B5_z44h2tn52WWa"/>
      <w:bookmarkEnd w:id="370"/>
      <w:r>
        <w:rPr>
          <w:rFonts w:ascii="Times New Roman;Times;Serif" w:hAnsi="Times New Roman;Times;Serif"/>
          <w:b w:val="false"/>
          <w:i w:val="false"/>
          <w:caps w:val="false"/>
          <w:smallCaps w:val="false"/>
          <w:sz w:val="20"/>
        </w:rPr>
        <w:t>Schedule of Operating Leases Cost</w:t>
      </w:r>
    </w:p>
    <w:tbl>
      <w:tblPr>
        <w:tblW w:w="8993" w:type="dxa"/>
        <w:jc w:val="left"/>
        <w:tblInd w:w="0" w:type="dxa"/>
        <w:tblLayout w:type="fixed"/>
        <w:tblCellMar>
          <w:top w:w="0" w:type="dxa"/>
          <w:left w:w="0" w:type="dxa"/>
          <w:bottom w:w="0" w:type="dxa"/>
          <w:right w:w="0" w:type="dxa"/>
        </w:tblCellMar>
      </w:tblPr>
      <w:tblGrid>
        <w:gridCol w:w="5390"/>
        <w:gridCol w:w="60"/>
        <w:gridCol w:w="183"/>
        <w:gridCol w:w="1051"/>
        <w:gridCol w:w="215"/>
        <w:gridCol w:w="60"/>
        <w:gridCol w:w="305"/>
        <w:gridCol w:w="1499"/>
        <w:gridCol w:w="230"/>
      </w:tblGrid>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pPr>
            <w:r>
              <w:rPr/>
              <w:t>Flywheel</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pPr>
            <w:r>
              <w:rPr/>
              <w:t>Flywheel</w:t>
            </w:r>
          </w:p>
        </w:tc>
        <w:tc>
          <w:tcPr>
            <w:tcW w:w="23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center"/>
              <w:rPr/>
            </w:pPr>
            <w:r>
              <w:rPr/>
              <w:t>June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vAlign w:val="center"/>
          </w:tcPr>
          <w:p>
            <w:pPr>
              <w:pStyle w:val="TableContents"/>
              <w:bidi w:val="0"/>
              <w:spacing w:before="0" w:after="283"/>
              <w:jc w:val="center"/>
              <w:rPr/>
            </w:pPr>
            <w:r>
              <w:rPr/>
              <w:t>December 2025</w:t>
            </w:r>
          </w:p>
        </w:tc>
        <w:tc>
          <w:tcPr>
            <w:tcW w:w="230" w:type="dxa"/>
            <w:tcBorders/>
            <w:vAlign w:val="center"/>
          </w:tcPr>
          <w:p>
            <w:pPr>
              <w:pStyle w:val="TableContents"/>
              <w:bidi w:val="0"/>
              <w:spacing w:before="0" w:after="283"/>
              <w:jc w:val="left"/>
              <w:rPr/>
            </w:pPr>
            <w:r>
              <w:rPr/>
              <w:t> </w:t>
            </w:r>
          </w:p>
        </w:tc>
      </w:tr>
      <w:tr>
        <w:trPr/>
        <w:tc>
          <w:tcPr>
            <w:tcW w:w="5390" w:type="dxa"/>
            <w:tcBorders>
              <w:bottom w:val="single" w:sz="8" w:space="0" w:color="000000"/>
            </w:tcBorders>
            <w:tcMar>
              <w:bottom w:w="28" w:type="dxa"/>
            </w:tcMar>
            <w:vAlign w:val="center"/>
          </w:tcPr>
          <w:p>
            <w:pPr>
              <w:pStyle w:val="TableContents"/>
              <w:bidi w:val="0"/>
              <w:spacing w:before="0" w:after="283"/>
              <w:jc w:val="left"/>
              <w:rPr/>
            </w:pPr>
            <w:r>
              <w:rPr/>
              <w:t>Initial lease term</w:t>
            </w:r>
          </w:p>
        </w:tc>
        <w:tc>
          <w:tcPr>
            <w:tcW w:w="60" w:type="dxa"/>
            <w:tcBorders/>
            <w:vAlign w:val="center"/>
          </w:tcPr>
          <w:p>
            <w:pPr>
              <w:pStyle w:val="TableContents"/>
              <w:bidi w:val="0"/>
              <w:spacing w:before="0" w:after="283"/>
              <w:jc w:val="left"/>
              <w:rPr/>
            </w:pPr>
            <w:r>
              <w:rPr/>
              <w:t> </w:t>
            </w:r>
          </w:p>
        </w:tc>
        <w:tc>
          <w:tcPr>
            <w:tcW w:w="1234" w:type="dxa"/>
            <w:gridSpan w:val="2"/>
            <w:tcBorders>
              <w:bottom w:val="single" w:sz="8" w:space="0" w:color="000000"/>
            </w:tcBorders>
            <w:tcMar>
              <w:bottom w:w="28" w:type="dxa"/>
            </w:tcMar>
            <w:vAlign w:val="center"/>
          </w:tcPr>
          <w:p>
            <w:pPr>
              <w:pStyle w:val="TableContents"/>
              <w:bidi w:val="0"/>
              <w:spacing w:before="0" w:after="283"/>
              <w:jc w:val="center"/>
              <w:rPr/>
            </w:pPr>
            <w:r>
              <w:rPr/>
              <w:t>to June 2027</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bottom w:val="single" w:sz="8" w:space="0" w:color="000000"/>
            </w:tcBorders>
            <w:tcMar>
              <w:bottom w:w="28" w:type="dxa"/>
            </w:tcMar>
            <w:vAlign w:val="center"/>
          </w:tcPr>
          <w:p>
            <w:pPr>
              <w:pStyle w:val="TableContents"/>
              <w:bidi w:val="0"/>
              <w:spacing w:before="0" w:after="283"/>
              <w:jc w:val="center"/>
              <w:rPr/>
            </w:pPr>
            <w:r>
              <w:rPr/>
              <w:t>to November 2028</w:t>
            </w:r>
          </w:p>
        </w:tc>
        <w:tc>
          <w:tcPr>
            <w:tcW w:w="230" w:type="dxa"/>
            <w:tcBorders/>
            <w:vAlign w:val="center"/>
          </w:tcPr>
          <w:p>
            <w:pPr>
              <w:pStyle w:val="TableContents"/>
              <w:bidi w:val="0"/>
              <w:spacing w:before="0" w:after="283"/>
              <w:jc w:val="left"/>
              <w:rPr/>
            </w:pPr>
            <w:r>
              <w:rPr/>
              <w:t> </w:t>
            </w:r>
          </w:p>
        </w:tc>
      </w:tr>
      <w:tr>
        <w:trPr/>
        <w:tc>
          <w:tcPr>
            <w:tcW w:w="5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4" w:type="dxa"/>
            <w:gridSpan w:val="2"/>
            <w:tcBorders/>
            <w:vAlign w:val="center"/>
          </w:tcPr>
          <w:p>
            <w:pPr>
              <w:pStyle w:val="TableContents"/>
              <w:bidi w:val="0"/>
              <w:spacing w:before="0" w:after="283"/>
              <w:jc w:val="right"/>
              <w:rPr/>
            </w:pPr>
            <w:r>
              <w:rPr/>
              <w:t> </w:t>
            </w:r>
          </w:p>
        </w:tc>
        <w:tc>
          <w:tcPr>
            <w:tcW w:w="230" w:type="dxa"/>
            <w:tcBorders/>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Initial recognition of operating lease right-of-use assets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bookmarkStart w:id="371" w:name="xdx_980_eus-gaap--OperatingLeaseRightOfU"/>
            <w:bookmarkEnd w:id="371"/>
          </w:p>
        </w:tc>
        <w:tc>
          <w:tcPr>
            <w:tcW w:w="1051" w:type="dxa"/>
            <w:tcBorders/>
            <w:shd w:fill="CCEEFF" w:val="clear"/>
            <w:vAlign w:val="center"/>
          </w:tcPr>
          <w:p>
            <w:pPr>
              <w:pStyle w:val="TableContents"/>
              <w:bidi w:val="0"/>
              <w:spacing w:before="0" w:after="283"/>
              <w:jc w:val="right"/>
              <w:rPr/>
            </w:pPr>
            <w:r>
              <w:rPr/>
              <w:t>127,226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bookmarkStart w:id="372" w:name="xdx_98B_eus-gaap--OperatingLeaseRightOfU"/>
            <w:bookmarkEnd w:id="372"/>
          </w:p>
        </w:tc>
        <w:tc>
          <w:tcPr>
            <w:tcW w:w="1499" w:type="dxa"/>
            <w:tcBorders/>
            <w:shd w:fill="CCEEFF" w:val="clear"/>
            <w:vAlign w:val="center"/>
          </w:tcPr>
          <w:p>
            <w:pPr>
              <w:pStyle w:val="TableContents"/>
              <w:bidi w:val="0"/>
              <w:spacing w:before="0" w:after="283"/>
              <w:jc w:val="right"/>
              <w:rPr/>
            </w:pPr>
            <w:r>
              <w:rPr/>
              <w:t>79,971</w:t>
            </w:r>
          </w:p>
        </w:tc>
        <w:tc>
          <w:tcPr>
            <w:tcW w:w="230" w:type="dxa"/>
            <w:tcBorders/>
            <w:shd w:fill="CCEEFF" w:val="clear"/>
            <w:vAlign w:val="center"/>
          </w:tcPr>
          <w:p>
            <w:pPr>
              <w:pStyle w:val="TableContents"/>
              <w:bidi w:val="0"/>
              <w:spacing w:before="0" w:after="283"/>
              <w:jc w:val="left"/>
              <w:rPr/>
            </w:pPr>
            <w:r>
              <w:rPr/>
              <w:t> </w:t>
            </w:r>
          </w:p>
        </w:tc>
      </w:tr>
      <w:tr>
        <w:trPr/>
        <w:tc>
          <w:tcPr>
            <w:tcW w:w="5390" w:type="dxa"/>
            <w:tcBorders/>
            <w:shd w:fill="FFFFFF" w:val="clear"/>
            <w:vAlign w:val="center"/>
          </w:tcPr>
          <w:p>
            <w:pPr>
              <w:pStyle w:val="TableContents"/>
              <w:bidi w:val="0"/>
              <w:spacing w:before="0" w:after="283"/>
              <w:jc w:val="left"/>
              <w:rPr/>
            </w:pPr>
            <w:r>
              <w:rPr/>
              <w:t>Weighted-average remaining lease term at June 30, 2026</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bookmarkStart w:id="373" w:name="xdx_905_eus-gaap--OperatingLeaseWeighted"/>
            <w:bookmarkEnd w:id="373"/>
            <w:r>
              <w:rPr/>
              <w:t>1.00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499" w:type="dxa"/>
            <w:tcBorders/>
            <w:shd w:fill="FFFFFF" w:val="clear"/>
            <w:vAlign w:val="center"/>
          </w:tcPr>
          <w:p>
            <w:pPr>
              <w:pStyle w:val="TableContents"/>
              <w:bidi w:val="0"/>
              <w:spacing w:before="0" w:after="283"/>
              <w:jc w:val="right"/>
              <w:rPr/>
            </w:pPr>
            <w:bookmarkStart w:id="374" w:name="xdx_906_eus-gaap--OperatingLeaseWeighted"/>
            <w:bookmarkEnd w:id="374"/>
            <w:r>
              <w:rPr/>
              <w:t>2.42</w:t>
            </w:r>
          </w:p>
        </w:tc>
        <w:tc>
          <w:tcPr>
            <w:tcW w:w="230"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Weighted-average discount rate at June 30, 2026</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bookmarkStart w:id="375" w:name="xdx_90B_eus-gaap--OperatingLeaseWeighted"/>
            <w:bookmarkEnd w:id="375"/>
            <w:r>
              <w:rPr/>
              <w:t>3.33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499" w:type="dxa"/>
            <w:tcBorders/>
            <w:shd w:fill="CCEEFF" w:val="clear"/>
            <w:vAlign w:val="center"/>
          </w:tcPr>
          <w:p>
            <w:pPr>
              <w:pStyle w:val="TableContents"/>
              <w:bidi w:val="0"/>
              <w:spacing w:before="0" w:after="283"/>
              <w:jc w:val="right"/>
              <w:rPr/>
            </w:pPr>
            <w:bookmarkStart w:id="376" w:name="xdx_90C_eus-gaap--OperatingLeaseWeighted"/>
            <w:bookmarkEnd w:id="376"/>
            <w:r>
              <w:rPr/>
              <w:t>3.33</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377" w:name="xdx_8A2_z2W3zqluUEVh"/>
      <w:bookmarkEnd w:id="37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liabilities-current as of June 30, 2026 and December 31, 2025 were $</w:t>
      </w:r>
      <w:bookmarkStart w:id="378" w:name="xdx_909_eus-gaap--OperatingLeaseLiabilit"/>
      <w:bookmarkEnd w:id="378"/>
      <w:r>
        <w:rPr>
          <w:rFonts w:ascii="Times New Roman;Times;Serif" w:hAnsi="Times New Roman;Times;Serif"/>
          <w:b w:val="false"/>
          <w:i w:val="false"/>
          <w:caps w:val="false"/>
          <w:smallCaps w:val="false"/>
          <w:sz w:val="20"/>
        </w:rPr>
        <w:t>91,142 and $</w:t>
      </w:r>
      <w:bookmarkStart w:id="379" w:name="xdx_901_eus-gaap--OperatingLeaseLiabilit"/>
      <w:bookmarkEnd w:id="379"/>
      <w:r>
        <w:rPr>
          <w:rFonts w:ascii="Times New Roman;Times;Serif" w:hAnsi="Times New Roman;Times;Serif"/>
          <w:b w:val="false"/>
          <w:i w:val="false"/>
          <w:caps w:val="false"/>
          <w:smallCaps w:val="false"/>
          <w:sz w:val="20"/>
        </w:rPr>
        <w:t>92,362, respectively. Operating lease liabilities-non-current as of June 30, 2026 and December 31, 2025 were $</w:t>
      </w:r>
      <w:bookmarkStart w:id="380" w:name="xdx_90D_eus-gaap--OperatingLeaseLiabilit"/>
      <w:bookmarkEnd w:id="380"/>
      <w:r>
        <w:rPr>
          <w:rFonts w:ascii="Times New Roman;Times;Serif" w:hAnsi="Times New Roman;Times;Serif"/>
          <w:b w:val="false"/>
          <w:i w:val="false"/>
          <w:caps w:val="false"/>
          <w:smallCaps w:val="false"/>
          <w:sz w:val="20"/>
        </w:rPr>
        <w:t>38,357 and $</w:t>
      </w:r>
      <w:bookmarkStart w:id="381" w:name="xdx_900_eus-gaap--OperatingLeaseLiabilit"/>
      <w:bookmarkEnd w:id="381"/>
      <w:r>
        <w:rPr>
          <w:rFonts w:ascii="Times New Roman;Times;Serif" w:hAnsi="Times New Roman;Times;Serif"/>
          <w:b w:val="false"/>
          <w:i w:val="false"/>
          <w:caps w:val="false"/>
          <w:smallCaps w:val="false"/>
          <w:sz w:val="20"/>
        </w:rPr>
        <w:t>83,271, respectively. The operating lease right-of-use assets balance as of June 30, 2026 and December 31, 2025, were $</w:t>
      </w:r>
      <w:bookmarkStart w:id="382" w:name="xdx_90C_eus-gaap--OperatingLeaseRightOfU"/>
      <w:bookmarkEnd w:id="382"/>
      <w:r>
        <w:rPr>
          <w:rFonts w:ascii="Times New Roman;Times;Serif" w:hAnsi="Times New Roman;Times;Serif"/>
          <w:b w:val="false"/>
          <w:i w:val="false"/>
          <w:caps w:val="false"/>
          <w:smallCaps w:val="false"/>
          <w:sz w:val="20"/>
        </w:rPr>
        <w:t>124,861 and $</w:t>
      </w:r>
      <w:bookmarkStart w:id="383" w:name="xdx_90D_eus-gaap--OperatingLeaseRightOfU"/>
      <w:bookmarkEnd w:id="383"/>
      <w:r>
        <w:rPr>
          <w:rFonts w:ascii="Times New Roman;Times;Serif" w:hAnsi="Times New Roman;Times;Serif"/>
          <w:b w:val="false"/>
          <w:i w:val="false"/>
          <w:caps w:val="false"/>
          <w:smallCaps w:val="false"/>
          <w:sz w:val="20"/>
        </w:rPr>
        <w:t>169,368,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amortization of the operating lease right-of-use asset was $</w:t>
      </w:r>
      <w:bookmarkStart w:id="384" w:name="xdx_90B_eus-gaap--OperatingLeaseRightOfU"/>
      <w:bookmarkEnd w:id="384"/>
      <w:r>
        <w:rPr>
          <w:rFonts w:ascii="Times New Roman;Times;Serif" w:hAnsi="Times New Roman;Times;Serif"/>
          <w:b w:val="false"/>
          <w:i w:val="false"/>
          <w:caps w:val="false"/>
          <w:smallCaps w:val="false"/>
          <w:sz w:val="20"/>
        </w:rPr>
        <w:t>42,575 and $</w:t>
      </w:r>
      <w:bookmarkStart w:id="385" w:name="xdx_90B_eus-gaap--OperatingLeaseRightOfU"/>
      <w:bookmarkEnd w:id="385"/>
      <w:r>
        <w:rPr>
          <w:rFonts w:ascii="Times New Roman;Times;Serif" w:hAnsi="Times New Roman;Times;Serif"/>
          <w:b w:val="false"/>
          <w:i w:val="false"/>
          <w:caps w:val="false"/>
          <w:smallCaps w:val="false"/>
          <w:sz w:val="20"/>
        </w:rPr>
        <w:t>122,018, respectively. These amounts were recorded in general and administrative expenses. Additionally, for the six months ended June 30, 2026 and 2025, the Company made lease payments of $</w:t>
      </w:r>
      <w:bookmarkStart w:id="386" w:name="xdx_905_eus-gaap--OperatingLeasePayments"/>
      <w:bookmarkEnd w:id="386"/>
      <w:r>
        <w:rPr>
          <w:rFonts w:ascii="Times New Roman;Times;Serif" w:hAnsi="Times New Roman;Times;Serif"/>
          <w:b w:val="false"/>
          <w:i w:val="false"/>
          <w:caps w:val="false"/>
          <w:smallCaps w:val="false"/>
          <w:sz w:val="20"/>
        </w:rPr>
        <w:t>44,130 and $</w:t>
      </w:r>
      <w:bookmarkStart w:id="387" w:name="xdx_908_eus-gaap--OperatingLeasePayments"/>
      <w:bookmarkEnd w:id="387"/>
      <w:r>
        <w:rPr>
          <w:rFonts w:ascii="Times New Roman;Times;Serif" w:hAnsi="Times New Roman;Times;Serif"/>
          <w:b w:val="false"/>
          <w:i w:val="false"/>
          <w:caps w:val="false"/>
          <w:smallCaps w:val="false"/>
          <w:sz w:val="20"/>
        </w:rPr>
        <w:t>125,712, respectively, which were included in the operating cash flows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8" w:name="xdx_892_eus-gaap--LesseeOperatingLeaseLi"/>
      <w:bookmarkEnd w:id="388"/>
      <w:r>
        <w:rPr>
          <w:rFonts w:ascii="Times New Roman;Times;Serif" w:hAnsi="Times New Roman;Times;Serif"/>
          <w:b w:val="false"/>
          <w:i w:val="false"/>
          <w:caps w:val="false"/>
          <w:smallCaps w:val="false"/>
          <w:sz w:val="20"/>
        </w:rPr>
        <w:t>The future minimum lease payment schedule for all operating leases as of June 30, 2026, is as disclosed below.</w:t>
      </w:r>
    </w:p>
    <w:p>
      <w:pPr>
        <w:pStyle w:val="TextBody"/>
        <w:bidi w:val="0"/>
        <w:spacing w:before="0" w:after="0"/>
        <w:ind w:left="0" w:right="0" w:hanging="0"/>
        <w:jc w:val="both"/>
        <w:rPr>
          <w:caps w:val="false"/>
          <w:smallCaps w:val="false"/>
        </w:rPr>
      </w:pPr>
      <w:r>
        <w:rPr>
          <w:caps w:val="false"/>
          <w:smallCaps w:val="false"/>
        </w:rPr>
        <w:t> </w:t>
      </w:r>
      <w:bookmarkStart w:id="389" w:name="xdx_8BA_zPKfkx1QUk3a"/>
      <w:bookmarkEnd w:id="389"/>
      <w:r>
        <w:rPr>
          <w:rFonts w:ascii="Times New Roman;Times;Serif" w:hAnsi="Times New Roman;Times;Serif"/>
          <w:b/>
          <w:i w:val="false"/>
          <w:caps w:val="false"/>
          <w:smallCaps w:val="false"/>
          <w:sz w:val="20"/>
        </w:rPr>
        <w:t>Schedule of Operating Lease Liabilities</w:t>
      </w:r>
    </w:p>
    <w:tbl>
      <w:tblPr>
        <w:tblW w:w="5975" w:type="dxa"/>
        <w:jc w:val="left"/>
        <w:tblInd w:w="0" w:type="dxa"/>
        <w:tblLayout w:type="fixed"/>
        <w:tblCellMar>
          <w:top w:w="0" w:type="dxa"/>
          <w:left w:w="0" w:type="dxa"/>
          <w:bottom w:w="28" w:type="dxa"/>
          <w:right w:w="0" w:type="dxa"/>
        </w:tblCellMar>
      </w:tblPr>
      <w:tblGrid>
        <w:gridCol w:w="4865"/>
        <w:gridCol w:w="60"/>
        <w:gridCol w:w="140"/>
        <w:gridCol w:w="800"/>
        <w:gridCol w:w="110"/>
      </w:tblGrid>
      <w:tr>
        <w:trPr/>
        <w:tc>
          <w:tcPr>
            <w:tcW w:w="4865" w:type="dxa"/>
            <w:tcBorders>
              <w:bottom w:val="single" w:sz="8" w:space="0" w:color="000000"/>
            </w:tcBorders>
            <w:vAlign w:val="center"/>
          </w:tcPr>
          <w:p>
            <w:pPr>
              <w:pStyle w:val="TableContents"/>
              <w:bidi w:val="0"/>
              <w:spacing w:before="0" w:after="283"/>
              <w:jc w:val="center"/>
              <w:rPr/>
            </w:pPr>
            <w:r>
              <w:rPr/>
              <w:t>For the Year Ending June 30,</w:t>
            </w:r>
          </w:p>
        </w:tc>
        <w:tc>
          <w:tcPr>
            <w:tcW w:w="60" w:type="dxa"/>
            <w:tcBorders/>
            <w:tcMar>
              <w:bottom w:w="0" w:type="dxa"/>
            </w:tcMar>
            <w:vAlign w:val="center"/>
          </w:tcPr>
          <w:p>
            <w:pPr>
              <w:pStyle w:val="TableContents"/>
              <w:bidi w:val="0"/>
              <w:spacing w:before="0" w:after="283"/>
              <w:jc w:val="left"/>
              <w:rPr/>
            </w:pPr>
            <w:r>
              <w:rPr/>
              <w:t> </w:t>
            </w:r>
            <w:bookmarkStart w:id="390" w:name="xdx_491_20260630_zArOvQInw7Il"/>
            <w:bookmarkEnd w:id="390"/>
          </w:p>
        </w:tc>
        <w:tc>
          <w:tcPr>
            <w:tcW w:w="940" w:type="dxa"/>
            <w:gridSpan w:val="2"/>
            <w:tcBorders>
              <w:bottom w:val="single" w:sz="8" w:space="0" w:color="000000"/>
            </w:tcBorders>
            <w:vAlign w:val="center"/>
          </w:tcPr>
          <w:p>
            <w:pPr>
              <w:pStyle w:val="TableContents"/>
              <w:bidi w:val="0"/>
              <w:spacing w:before="0" w:after="283"/>
              <w:jc w:val="center"/>
              <w:rPr/>
            </w:pPr>
            <w:r>
              <w:rPr/>
              <w:t>Amount</w:t>
            </w:r>
          </w:p>
        </w:tc>
        <w:tc>
          <w:tcPr>
            <w:tcW w:w="110" w:type="dxa"/>
            <w:tcBorders/>
            <w:tcMar>
              <w:bottom w:w="0" w:type="dxa"/>
            </w:tcMar>
            <w:vAlign w:val="center"/>
          </w:tcPr>
          <w:p>
            <w:pPr>
              <w:pStyle w:val="TableContents"/>
              <w:bidi w:val="0"/>
              <w:spacing w:before="0" w:after="283"/>
              <w:jc w:val="left"/>
              <w:rPr/>
            </w:pPr>
            <w:r>
              <w:rPr/>
              <w:t> </w:t>
            </w:r>
          </w:p>
        </w:tc>
      </w:tr>
      <w:tr>
        <w:trPr/>
        <w:tc>
          <w:tcPr>
            <w:tcW w:w="48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110" w:type="dxa"/>
            <w:tcBorders/>
            <w:tcMar>
              <w:bottom w:w="0" w:type="dxa"/>
            </w:tcMar>
            <w:vAlign w:val="center"/>
          </w:tcPr>
          <w:p>
            <w:pPr>
              <w:pStyle w:val="TableContents"/>
              <w:bidi w:val="0"/>
              <w:spacing w:before="0" w:after="283"/>
              <w:jc w:val="left"/>
              <w:rPr/>
            </w:pPr>
            <w:r>
              <w:rPr/>
              <w:t> </w:t>
            </w:r>
            <w:bookmarkStart w:id="391" w:name="xdx_403_eus-gaap--LesseeOperatingLeaseLi"/>
            <w:bookmarkEnd w:id="391"/>
          </w:p>
        </w:tc>
      </w:tr>
      <w:tr>
        <w:trPr/>
        <w:tc>
          <w:tcPr>
            <w:tcW w:w="4865" w:type="dxa"/>
            <w:tcBorders/>
            <w:shd w:fill="CCEEFF" w:val="clear"/>
            <w:tcMar>
              <w:bottom w:w="0" w:type="dxa"/>
            </w:tcMar>
            <w:vAlign w:val="center"/>
          </w:tcPr>
          <w:p>
            <w:pPr>
              <w:pStyle w:val="TableContents"/>
              <w:bidi w:val="0"/>
              <w:spacing w:before="0" w:after="283"/>
              <w:jc w:val="center"/>
              <w:rPr/>
            </w:pPr>
            <w:r>
              <w:rPr/>
              <w:t>2026 (remainder)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46,397</w:t>
            </w:r>
          </w:p>
        </w:tc>
        <w:tc>
          <w:tcPr>
            <w:tcW w:w="110" w:type="dxa"/>
            <w:tcBorders/>
            <w:shd w:fill="CCEEFF" w:val="clear"/>
            <w:tcMar>
              <w:bottom w:w="0" w:type="dxa"/>
            </w:tcMar>
            <w:vAlign w:val="center"/>
          </w:tcPr>
          <w:p>
            <w:pPr>
              <w:pStyle w:val="TableContents"/>
              <w:bidi w:val="0"/>
              <w:spacing w:before="0" w:after="283"/>
              <w:jc w:val="left"/>
              <w:rPr/>
            </w:pPr>
            <w:r>
              <w:rPr/>
              <w:t> </w:t>
            </w:r>
            <w:bookmarkStart w:id="392" w:name="xdx_40B_eus-gaap--LesseeOperatingLeaseLi"/>
            <w:bookmarkEnd w:id="392"/>
          </w:p>
        </w:tc>
      </w:tr>
      <w:tr>
        <w:trPr/>
        <w:tc>
          <w:tcPr>
            <w:tcW w:w="4865" w:type="dxa"/>
            <w:tcBorders/>
            <w:shd w:fill="FFFFFF" w:val="clear"/>
            <w:tcMar>
              <w:bottom w:w="0" w:type="dxa"/>
            </w:tcMar>
            <w:vAlign w:val="center"/>
          </w:tcPr>
          <w:p>
            <w:pPr>
              <w:pStyle w:val="TableContents"/>
              <w:bidi w:val="0"/>
              <w:spacing w:before="0" w:after="283"/>
              <w:jc w:val="center"/>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60,520</w:t>
            </w:r>
          </w:p>
        </w:tc>
        <w:tc>
          <w:tcPr>
            <w:tcW w:w="110" w:type="dxa"/>
            <w:tcBorders/>
            <w:shd w:fill="FFFFFF" w:val="clear"/>
            <w:tcMar>
              <w:bottom w:w="0" w:type="dxa"/>
            </w:tcMar>
            <w:vAlign w:val="center"/>
          </w:tcPr>
          <w:p>
            <w:pPr>
              <w:pStyle w:val="TableContents"/>
              <w:bidi w:val="0"/>
              <w:spacing w:before="0" w:after="283"/>
              <w:jc w:val="left"/>
              <w:rPr/>
            </w:pPr>
            <w:r>
              <w:rPr/>
              <w:t> </w:t>
            </w:r>
            <w:bookmarkStart w:id="393" w:name="xdx_401_eus-gaap--LesseeOperatingLeaseLi"/>
            <w:bookmarkEnd w:id="393"/>
          </w:p>
        </w:tc>
      </w:tr>
      <w:tr>
        <w:trPr/>
        <w:tc>
          <w:tcPr>
            <w:tcW w:w="4865" w:type="dxa"/>
            <w:tcBorders/>
            <w:shd w:fill="CCEEFF" w:val="clear"/>
            <w:tcMar>
              <w:bottom w:w="0" w:type="dxa"/>
            </w:tcMar>
            <w:vAlign w:val="center"/>
          </w:tcPr>
          <w:p>
            <w:pPr>
              <w:pStyle w:val="TableContents"/>
              <w:bidi w:val="0"/>
              <w:spacing w:before="0" w:after="283"/>
              <w:jc w:val="center"/>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26,535</w:t>
            </w:r>
          </w:p>
        </w:tc>
        <w:tc>
          <w:tcPr>
            <w:tcW w:w="110" w:type="dxa"/>
            <w:tcBorders/>
            <w:shd w:fill="CCEEFF" w:val="clear"/>
            <w:tcMar>
              <w:bottom w:w="0" w:type="dxa"/>
            </w:tcMar>
            <w:vAlign w:val="center"/>
          </w:tcPr>
          <w:p>
            <w:pPr>
              <w:pStyle w:val="TableContents"/>
              <w:bidi w:val="0"/>
              <w:spacing w:before="0" w:after="283"/>
              <w:jc w:val="left"/>
              <w:rPr/>
            </w:pPr>
            <w:r>
              <w:rPr/>
              <w:t> </w:t>
            </w:r>
            <w:bookmarkStart w:id="394" w:name="xdx_40E_ecustom--LesseeOperatingLeaseLia"/>
            <w:bookmarkEnd w:id="394"/>
          </w:p>
        </w:tc>
      </w:tr>
      <w:tr>
        <w:trPr/>
        <w:tc>
          <w:tcPr>
            <w:tcW w:w="4865" w:type="dxa"/>
            <w:tcBorders/>
            <w:shd w:fill="FFFFFF" w:val="clear"/>
            <w:tcMar>
              <w:bottom w:w="0" w:type="dxa"/>
            </w:tcMar>
            <w:vAlign w:val="center"/>
          </w:tcPr>
          <w:p>
            <w:pPr>
              <w:pStyle w:val="TableContents"/>
              <w:bidi w:val="0"/>
              <w:spacing w:before="0" w:after="283"/>
              <w:jc w:val="center"/>
              <w:rPr/>
            </w:pPr>
            <w:r>
              <w:rPr/>
              <w:t>2029 and 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bookmarkStart w:id="395" w:name="xdx_40E_eus-gaap--LesseeOperatingLeaseLi"/>
            <w:bookmarkEnd w:id="395"/>
          </w:p>
        </w:tc>
      </w:tr>
      <w:tr>
        <w:trPr/>
        <w:tc>
          <w:tcPr>
            <w:tcW w:w="4865" w:type="dxa"/>
            <w:tcBorders/>
            <w:shd w:fill="CCEEFF" w:val="clear"/>
            <w:tcMar>
              <w:bottom w:w="0" w:type="dxa"/>
            </w:tcMar>
            <w:vAlign w:val="center"/>
          </w:tcPr>
          <w:p>
            <w:pPr>
              <w:pStyle w:val="TableContents"/>
              <w:bidi w:val="0"/>
              <w:spacing w:before="0" w:after="283"/>
              <w:jc w:val="left"/>
              <w:rPr/>
            </w:pPr>
            <w:r>
              <w:rPr/>
              <w:t>Total minimum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133,452</w:t>
            </w:r>
          </w:p>
        </w:tc>
        <w:tc>
          <w:tcPr>
            <w:tcW w:w="110" w:type="dxa"/>
            <w:tcBorders/>
            <w:shd w:fill="CCEEFF" w:val="clear"/>
            <w:tcMar>
              <w:bottom w:w="0" w:type="dxa"/>
            </w:tcMar>
            <w:vAlign w:val="center"/>
          </w:tcPr>
          <w:p>
            <w:pPr>
              <w:pStyle w:val="TableContents"/>
              <w:bidi w:val="0"/>
              <w:spacing w:before="0" w:after="283"/>
              <w:jc w:val="left"/>
              <w:rPr/>
            </w:pPr>
            <w:r>
              <w:rPr/>
              <w:t> </w:t>
            </w:r>
            <w:bookmarkStart w:id="396" w:name="xdx_404_eus-gaap--LesseeOperatingLeaseLi"/>
            <w:bookmarkEnd w:id="396"/>
          </w:p>
        </w:tc>
      </w:tr>
      <w:tr>
        <w:trPr/>
        <w:tc>
          <w:tcPr>
            <w:tcW w:w="4865" w:type="dxa"/>
            <w:tcBorders/>
            <w:shd w:fill="FFFFFF" w:val="clear"/>
            <w:tcMar>
              <w:bottom w:w="0" w:type="dxa"/>
            </w:tcMar>
            <w:vAlign w:val="center"/>
          </w:tcPr>
          <w:p>
            <w:pPr>
              <w:pStyle w:val="TableContents"/>
              <w:bidi w:val="0"/>
              <w:spacing w:before="0" w:after="283"/>
              <w:jc w:val="left"/>
              <w:rPr/>
            </w:pPr>
            <w:r>
              <w:rPr/>
              <w:t>Less: effect of discounting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(3,953</w:t>
            </w:r>
          </w:p>
        </w:tc>
        <w:tc>
          <w:tcPr>
            <w:tcW w:w="110" w:type="dxa"/>
            <w:tcBorders/>
            <w:shd w:fill="FFFFFF" w:val="clear"/>
            <w:tcMar>
              <w:bottom w:w="0" w:type="dxa"/>
            </w:tcMar>
            <w:vAlign w:val="center"/>
          </w:tcPr>
          <w:p>
            <w:pPr>
              <w:pStyle w:val="TableContents"/>
              <w:bidi w:val="0"/>
              <w:spacing w:before="0" w:after="283"/>
              <w:jc w:val="left"/>
              <w:rPr/>
            </w:pPr>
            <w:r>
              <w:rPr/>
              <w:t>)</w:t>
            </w:r>
            <w:bookmarkStart w:id="397" w:name="xdx_40B_eus-gaap--OperatingLeaseLiabilit"/>
            <w:bookmarkEnd w:id="397"/>
          </w:p>
        </w:tc>
      </w:tr>
      <w:tr>
        <w:trPr/>
        <w:tc>
          <w:tcPr>
            <w:tcW w:w="4865" w:type="dxa"/>
            <w:tcBorders/>
            <w:shd w:fill="CCEEFF" w:val="clear"/>
            <w:tcMar>
              <w:bottom w:w="0" w:type="dxa"/>
            </w:tcMar>
            <w:vAlign w:val="center"/>
          </w:tcPr>
          <w:p>
            <w:pPr>
              <w:pStyle w:val="TableContents"/>
              <w:bidi w:val="0"/>
              <w:spacing w:before="0" w:after="283"/>
              <w:jc w:val="left"/>
              <w:rPr/>
            </w:pPr>
            <w:r>
              <w:rPr/>
              <w:t>Present value of the future minimum lease payment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129,499</w:t>
            </w:r>
          </w:p>
        </w:tc>
        <w:tc>
          <w:tcPr>
            <w:tcW w:w="110" w:type="dxa"/>
            <w:tcBorders/>
            <w:shd w:fill="CCEEFF" w:val="clear"/>
            <w:tcMar>
              <w:bottom w:w="0" w:type="dxa"/>
            </w:tcMar>
            <w:vAlign w:val="center"/>
          </w:tcPr>
          <w:p>
            <w:pPr>
              <w:pStyle w:val="TableContents"/>
              <w:bidi w:val="0"/>
              <w:spacing w:before="0" w:after="283"/>
              <w:jc w:val="left"/>
              <w:rPr/>
            </w:pPr>
            <w:r>
              <w:rPr/>
              <w:t> </w:t>
            </w:r>
            <w:bookmarkStart w:id="398" w:name="xdx_405_eus-gaap--OperatingLeaseLiabilit"/>
            <w:bookmarkEnd w:id="398"/>
          </w:p>
        </w:tc>
      </w:tr>
      <w:tr>
        <w:trPr/>
        <w:tc>
          <w:tcPr>
            <w:tcW w:w="4865" w:type="dxa"/>
            <w:tcBorders/>
            <w:shd w:fill="FFFFFF" w:val="clear"/>
            <w:tcMar>
              <w:bottom w:w="0" w:type="dxa"/>
            </w:tcMar>
            <w:vAlign w:val="center"/>
          </w:tcPr>
          <w:p>
            <w:pPr>
              <w:pStyle w:val="TableContents"/>
              <w:bidi w:val="0"/>
              <w:spacing w:before="0" w:after="283"/>
              <w:jc w:val="left"/>
              <w:rPr/>
            </w:pPr>
            <w:r>
              <w:rPr/>
              <w:t>Less: operating lease liabilities-current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(91,142</w:t>
            </w:r>
          </w:p>
        </w:tc>
        <w:tc>
          <w:tcPr>
            <w:tcW w:w="110" w:type="dxa"/>
            <w:tcBorders/>
            <w:shd w:fill="FFFFFF" w:val="clear"/>
            <w:tcMar>
              <w:bottom w:w="0" w:type="dxa"/>
            </w:tcMar>
            <w:vAlign w:val="center"/>
          </w:tcPr>
          <w:p>
            <w:pPr>
              <w:pStyle w:val="TableContents"/>
              <w:bidi w:val="0"/>
              <w:spacing w:before="0" w:after="283"/>
              <w:jc w:val="left"/>
              <w:rPr/>
            </w:pPr>
            <w:r>
              <w:rPr/>
              <w:t>)</w:t>
            </w:r>
            <w:bookmarkStart w:id="399" w:name="xdx_408_eus-gaap--OperatingLeaseLiabilit"/>
            <w:bookmarkEnd w:id="399"/>
          </w:p>
        </w:tc>
      </w:tr>
      <w:tr>
        <w:trPr/>
        <w:tc>
          <w:tcPr>
            <w:tcW w:w="4865" w:type="dxa"/>
            <w:tcBorders/>
            <w:shd w:fill="CCEEFF" w:val="clear"/>
            <w:tcMar>
              <w:bottom w:w="0" w:type="dxa"/>
            </w:tcMar>
            <w:vAlign w:val="center"/>
          </w:tcPr>
          <w:p>
            <w:pPr>
              <w:pStyle w:val="TableContents"/>
              <w:bidi w:val="0"/>
              <w:spacing w:before="0" w:after="283"/>
              <w:jc w:val="left"/>
              <w:rPr/>
            </w:pPr>
            <w:r>
              <w:rPr/>
              <w:t>Total operating lease liabilities-non-current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w:t>
            </w:r>
          </w:p>
        </w:tc>
        <w:tc>
          <w:tcPr>
            <w:tcW w:w="800" w:type="dxa"/>
            <w:tcBorders>
              <w:bottom w:val="single" w:sz="8" w:space="0" w:color="000000"/>
            </w:tcBorders>
            <w:shd w:fill="CCEEFF" w:val="clear"/>
            <w:vAlign w:val="center"/>
          </w:tcPr>
          <w:p>
            <w:pPr>
              <w:pStyle w:val="TableContents"/>
              <w:bidi w:val="0"/>
              <w:spacing w:before="0" w:after="283"/>
              <w:jc w:val="right"/>
              <w:rPr/>
            </w:pPr>
            <w:r>
              <w:rPr/>
              <w:t>38,357</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00" w:name="xdx_8A7_zuNyMzXfDDVf"/>
      <w:bookmarkEnd w:id="400"/>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1" w:name="xdx_80B_eus-gaap--RelatedPartyTransactio"/>
      <w:bookmarkEnd w:id="401"/>
      <w:r>
        <w:rPr>
          <w:rFonts w:ascii="Times New Roman;Times;Serif" w:hAnsi="Times New Roman;Times;Serif"/>
          <w:b/>
          <w:i w:val="false"/>
          <w:caps w:val="false"/>
          <w:smallCaps w:val="false"/>
          <w:sz w:val="20"/>
        </w:rPr>
        <w:t xml:space="preserve">NOTE 10 - </w:t>
      </w:r>
      <w:bookmarkStart w:id="402" w:name="xdx_822_zUDSWeEMDlJl"/>
      <w:bookmarkEnd w:id="402"/>
      <w:r>
        <w:rPr>
          <w:rFonts w:ascii="Times New Roman;Times;Serif" w:hAnsi="Times New Roman;Times;Serif"/>
          <w:b/>
          <w:i w:val="false"/>
          <w:caps w:val="false"/>
          <w:smallCaps w:val="false"/>
          <w:sz w:val="20"/>
        </w:rPr>
        <w:t>Related Party Balances and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receives loans and advances from its stockholders to fund its operations. Stockholder loans and advances are payable on demand. As of June 30, 2026 and December 31, 2025, the Company had $</w:t>
      </w:r>
      <w:bookmarkStart w:id="403" w:name="xdx_903_eus-gaap--OtherLiabilities_iI_c2"/>
      <w:bookmarkEnd w:id="403"/>
      <w:r>
        <w:rPr>
          <w:rFonts w:ascii="Times New Roman;Times;Serif" w:hAnsi="Times New Roman;Times;Serif"/>
          <w:b w:val="false"/>
          <w:i w:val="false"/>
          <w:caps w:val="false"/>
          <w:smallCaps w:val="false"/>
          <w:sz w:val="20"/>
        </w:rPr>
        <w:t>3,410,418 and $</w:t>
      </w:r>
      <w:bookmarkStart w:id="404" w:name="xdx_905_eus-gaap--OtherLiabilities_iI_c2"/>
      <w:bookmarkEnd w:id="404"/>
      <w:r>
        <w:rPr>
          <w:rFonts w:ascii="Times New Roman;Times;Serif" w:hAnsi="Times New Roman;Times;Serif"/>
          <w:b w:val="false"/>
          <w:i w:val="false"/>
          <w:caps w:val="false"/>
          <w:smallCaps w:val="false"/>
          <w:sz w:val="20"/>
        </w:rPr>
        <w:t xml:space="preserve">3,810,418, respectively, due to related parties (Sam Lai, the Company’s Chairman of the Board, Chief Executive Officer and Interim Chief Financial Officer and a significant stockholder of the Company; and Maggie Yu, the Company’s Senior Vice President, a member of the Company’s Board of Directors and a significant stockholder of the Company). The loan is memorialized in a subordinated Loan Agreement. As amended, the loan matures on </w:t>
      </w:r>
      <w:bookmarkStart w:id="405" w:name="xdx_904_eus-gaap--DebtInstrumentMaturity"/>
      <w:bookmarkEnd w:id="405"/>
      <w:r>
        <w:rPr>
          <w:rFonts w:ascii="Times New Roman;Times;Serif" w:hAnsi="Times New Roman;Times;Serif"/>
          <w:b w:val="false"/>
          <w:i w:val="false"/>
          <w:caps w:val="false"/>
          <w:smallCaps w:val="false"/>
          <w:sz w:val="20"/>
        </w:rPr>
        <w:t xml:space="preserve">December 31, 2026 and has an annual interest rate of </w:t>
      </w:r>
      <w:bookmarkStart w:id="406" w:name="xdx_90A_eus-gaap--DebtInstrumentInterest"/>
      <w:bookmarkEnd w:id="406"/>
      <w:r>
        <w:rPr>
          <w:rFonts w:ascii="Times New Roman;Times;Serif" w:hAnsi="Times New Roman;Times;Serif"/>
          <w:b w:val="false"/>
          <w:i w:val="false"/>
          <w:caps w:val="false"/>
          <w:smallCaps w:val="false"/>
          <w:sz w:val="20"/>
        </w:rPr>
        <w:t>4.75%.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this amount included $</w:t>
      </w:r>
      <w:bookmarkStart w:id="407" w:name="xdx_90F_ecustom--StockholderPayable_iI_c"/>
      <w:bookmarkEnd w:id="407"/>
      <w:r>
        <w:rPr>
          <w:rFonts w:ascii="Times New Roman;Times;Serif" w:hAnsi="Times New Roman;Times;Serif"/>
          <w:b w:val="false"/>
          <w:i w:val="false"/>
          <w:caps w:val="false"/>
          <w:smallCaps w:val="false"/>
          <w:sz w:val="20"/>
        </w:rPr>
        <w:t>3,410,418 in stockholder payables and $</w:t>
      </w:r>
      <w:bookmarkStart w:id="408" w:name="xdx_908_eus-gaap--AccruedBonusesCurrent_"/>
      <w:bookmarkEnd w:id="408"/>
      <w:r>
        <w:rPr>
          <w:rFonts w:ascii="Times New Roman;Times;Serif" w:hAnsi="Times New Roman;Times;Serif"/>
          <w:b w:val="false"/>
          <w:i w:val="false"/>
          <w:caps w:val="false"/>
          <w:smallCaps w:val="false"/>
          <w:sz w:val="20"/>
        </w:rPr>
        <w:t>0 accrued for bonuses. As of December 31, 2025, this amount included $</w:t>
      </w:r>
      <w:bookmarkStart w:id="409" w:name="xdx_903_ecustom--StockholderPayable_iI_c"/>
      <w:bookmarkEnd w:id="409"/>
      <w:r>
        <w:rPr>
          <w:rFonts w:ascii="Times New Roman;Times;Serif" w:hAnsi="Times New Roman;Times;Serif"/>
          <w:b w:val="false"/>
          <w:i w:val="false"/>
          <w:caps w:val="false"/>
          <w:smallCaps w:val="false"/>
          <w:sz w:val="20"/>
        </w:rPr>
        <w:t>2,660,418 in stockholder payables and $</w:t>
      </w:r>
      <w:bookmarkStart w:id="410" w:name="xdx_900_eus-gaap--AccruedBonusesCurrent_"/>
      <w:bookmarkEnd w:id="410"/>
      <w:r>
        <w:rPr>
          <w:rFonts w:ascii="Times New Roman;Times;Serif" w:hAnsi="Times New Roman;Times;Serif"/>
          <w:b w:val="false"/>
          <w:i w:val="false"/>
          <w:caps w:val="false"/>
          <w:smallCaps w:val="false"/>
          <w:sz w:val="20"/>
        </w:rPr>
        <w:t>1,150,000 accrued for bonuses.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the Company made repayments to related parties of $</w:t>
      </w:r>
      <w:bookmarkStart w:id="411" w:name="xdx_90C_eus-gaap--RepaymentsOfRelatedPar"/>
      <w:bookmarkEnd w:id="411"/>
      <w:r>
        <w:rPr>
          <w:rFonts w:ascii="Times New Roman;Times;Serif" w:hAnsi="Times New Roman;Times;Serif"/>
          <w:b w:val="false"/>
          <w:i w:val="false"/>
          <w:caps w:val="false"/>
          <w:smallCaps w:val="false"/>
          <w:sz w:val="20"/>
        </w:rPr>
        <w:t>884,000 and $</w:t>
      </w:r>
      <w:bookmarkStart w:id="412" w:name="xdx_909_eus-gaap--RepaymentsOfRelatedPar"/>
      <w:bookmarkEnd w:id="412"/>
      <w:r>
        <w:rPr>
          <w:rFonts w:ascii="Times New Roman;Times;Serif" w:hAnsi="Times New Roman;Times;Serif"/>
          <w:b w:val="false"/>
          <w:i w:val="false"/>
          <w:caps w:val="false"/>
          <w:smallCaps w:val="false"/>
          <w:sz w:val="20"/>
        </w:rPr>
        <w:t>839,000,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2026, due to changes in Amazon’s Disbursement Policy under which daily remittances are delayed by seven days, Sam Lai and Maggie Yu advanced funds to the Company to provide liquidity support. The advances bear interest at an annual rate of </w:t>
      </w:r>
      <w:bookmarkStart w:id="413" w:name="xdx_905_eus-gaap--LongTermDebtPercentage"/>
      <w:bookmarkEnd w:id="413"/>
      <w:r>
        <w:rPr>
          <w:rFonts w:ascii="Times New Roman;Times;Serif" w:hAnsi="Times New Roman;Times;Serif"/>
          <w:b w:val="false"/>
          <w:i w:val="false"/>
          <w:caps w:val="false"/>
          <w:smallCaps w:val="false"/>
          <w:sz w:val="20"/>
        </w:rPr>
        <w:t>4.75%. For the six months ended June 30, 2026, total advances received from related parties were $</w:t>
      </w:r>
      <w:bookmarkStart w:id="414" w:name="xdx_903_eus-gaap--ProceedsFromRelatedPar"/>
      <w:bookmarkEnd w:id="414"/>
      <w:r>
        <w:rPr>
          <w:rFonts w:ascii="Times New Roman;Times;Serif" w:hAnsi="Times New Roman;Times;Serif"/>
          <w:b w:val="false"/>
          <w:i w:val="false"/>
          <w:caps w:val="false"/>
          <w:smallCaps w:val="false"/>
          <w:sz w:val="20"/>
        </w:rPr>
        <w:t>1,634,000.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5" w:name="xdx_80B_eus-gaap--RevenueFromContractWit"/>
      <w:bookmarkEnd w:id="415"/>
      <w:r>
        <w:rPr>
          <w:rFonts w:ascii="Times New Roman;Times;Serif" w:hAnsi="Times New Roman;Times;Serif"/>
          <w:b/>
          <w:i w:val="false"/>
          <w:caps w:val="false"/>
          <w:smallCaps w:val="false"/>
          <w:sz w:val="20"/>
        </w:rPr>
        <w:t xml:space="preserve">NOTE 11 – </w:t>
      </w:r>
      <w:bookmarkStart w:id="416" w:name="xdx_82A_zEGpqL3Fc6ti"/>
      <w:bookmarkEnd w:id="416"/>
      <w:r>
        <w:rPr>
          <w:rFonts w:ascii="Times New Roman;Times;Serif" w:hAnsi="Times New Roman;Times;Serif"/>
          <w:b/>
          <w:i w:val="false"/>
          <w:caps w:val="false"/>
          <w:smallCaps w:val="false"/>
          <w:sz w:val="20"/>
        </w:rPr>
        <w:t>Disaggregation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7" w:name="xdx_895_eus-gaap--DisaggregationOfRevenu"/>
      <w:bookmarkEnd w:id="417"/>
      <w:r>
        <w:rPr>
          <w:rFonts w:ascii="Times New Roman;Times;Serif" w:hAnsi="Times New Roman;Times;Serif"/>
          <w:b w:val="false"/>
          <w:i w:val="false"/>
          <w:caps w:val="false"/>
          <w:smallCaps w:val="false"/>
          <w:sz w:val="20"/>
        </w:rPr>
        <w:t>Revenues were comprised of the following for the three and six months ended June 30, 2026 and 2025, respectively:</w:t>
      </w:r>
    </w:p>
    <w:p>
      <w:pPr>
        <w:pStyle w:val="TextBody"/>
        <w:bidi w:val="0"/>
        <w:ind w:left="0" w:right="0" w:hanging="0"/>
        <w:jc w:val="both"/>
        <w:rPr>
          <w:caps w:val="false"/>
          <w:smallCaps w:val="false"/>
        </w:rPr>
      </w:pPr>
      <w:r>
        <w:rPr>
          <w:caps w:val="false"/>
          <w:smallCaps w:val="false"/>
        </w:rPr>
        <w:t> </w:t>
      </w:r>
      <w:bookmarkStart w:id="418" w:name="xdx_8B6_zWrzd09Mrdvk"/>
      <w:bookmarkEnd w:id="418"/>
      <w:r>
        <w:rPr>
          <w:rFonts w:ascii="Times New Roman;Times;Serif" w:hAnsi="Times New Roman;Times;Serif"/>
          <w:b w:val="false"/>
          <w:i w:val="false"/>
          <w:caps w:val="false"/>
          <w:smallCaps w:val="false"/>
          <w:sz w:val="20"/>
        </w:rPr>
        <w:t>Schedule of Revenue</w:t>
      </w:r>
    </w:p>
    <w:tbl>
      <w:tblPr>
        <w:tblW w:w="5518" w:type="dxa"/>
        <w:jc w:val="left"/>
        <w:tblInd w:w="0" w:type="dxa"/>
        <w:tblLayout w:type="fixed"/>
        <w:tblCellMar>
          <w:top w:w="0" w:type="dxa"/>
          <w:left w:w="0" w:type="dxa"/>
          <w:bottom w:w="0" w:type="dxa"/>
          <w:right w:w="0" w:type="dxa"/>
        </w:tblCellMar>
      </w:tblPr>
      <w:tblGrid>
        <w:gridCol w:w="2225"/>
        <w:gridCol w:w="60"/>
        <w:gridCol w:w="166"/>
        <w:gridCol w:w="1304"/>
        <w:gridCol w:w="112"/>
        <w:gridCol w:w="71"/>
        <w:gridCol w:w="166"/>
        <w:gridCol w:w="1304"/>
        <w:gridCol w:w="110"/>
      </w:tblGrid>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19" w:name="xdx_499_20260401__20260630_z1RlQqVSOitl"/>
            <w:bookmarkEnd w:id="419"/>
          </w:p>
        </w:tc>
        <w:tc>
          <w:tcPr>
            <w:tcW w:w="14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bookmarkStart w:id="420" w:name="xdx_494_20250401__20250630_zpV0VZSsI3Hg"/>
            <w:bookmarkEnd w:id="420"/>
          </w:p>
        </w:tc>
        <w:tc>
          <w:tcPr>
            <w:tcW w:w="147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2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11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0" w:type="dxa"/>
            <w:gridSpan w:val="2"/>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47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421" w:name="xdx_40F_eus-gaap--RevenueFromContractWit"/>
            <w:bookmarkEnd w:id="421"/>
          </w:p>
        </w:tc>
      </w:tr>
      <w:tr>
        <w:trPr/>
        <w:tc>
          <w:tcPr>
            <w:tcW w:w="2225" w:type="dxa"/>
            <w:tcBorders/>
            <w:shd w:fill="CCEEFF" w:val="clear"/>
            <w:vAlign w:val="center"/>
          </w:tcPr>
          <w:p>
            <w:pPr>
              <w:pStyle w:val="TableContents"/>
              <w:bidi w:val="0"/>
              <w:spacing w:before="0" w:after="283"/>
              <w:jc w:val="left"/>
              <w:rPr/>
            </w:pPr>
            <w:r>
              <w:rPr/>
              <w:t>Revenues-U.S.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b/>
              </w:rPr>
            </w:pPr>
            <w:r>
              <w:rPr>
                <w:b/>
              </w:rPr>
              <w:t>$</w:t>
            </w:r>
          </w:p>
        </w:tc>
        <w:tc>
          <w:tcPr>
            <w:tcW w:w="1304" w:type="dxa"/>
            <w:tcBorders/>
            <w:shd w:fill="CCEEFF" w:val="clear"/>
            <w:vAlign w:val="center"/>
          </w:tcPr>
          <w:p>
            <w:pPr>
              <w:pStyle w:val="TableContents"/>
              <w:bidi w:val="0"/>
              <w:spacing w:before="0" w:after="283"/>
              <w:jc w:val="right"/>
              <w:rPr>
                <w:b/>
              </w:rPr>
            </w:pPr>
            <w:r>
              <w:rPr>
                <w:b/>
              </w:rPr>
              <w:t>34,773,245</w:t>
            </w:r>
          </w:p>
        </w:tc>
        <w:tc>
          <w:tcPr>
            <w:tcW w:w="11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1304" w:type="dxa"/>
            <w:tcBorders/>
            <w:shd w:fill="CCEEFF" w:val="clear"/>
            <w:vAlign w:val="center"/>
          </w:tcPr>
          <w:p>
            <w:pPr>
              <w:pStyle w:val="TableContents"/>
              <w:bidi w:val="0"/>
              <w:spacing w:before="0" w:after="283"/>
              <w:jc w:val="right"/>
              <w:rPr/>
            </w:pPr>
            <w:r>
              <w:rPr/>
              <w:t>28,308,512</w:t>
            </w:r>
          </w:p>
        </w:tc>
        <w:tc>
          <w:tcPr>
            <w:tcW w:w="110" w:type="dxa"/>
            <w:tcBorders/>
            <w:shd w:fill="CCEEFF" w:val="clear"/>
            <w:vAlign w:val="center"/>
          </w:tcPr>
          <w:p>
            <w:pPr>
              <w:pStyle w:val="TableContents"/>
              <w:bidi w:val="0"/>
              <w:spacing w:before="0" w:after="283"/>
              <w:jc w:val="left"/>
              <w:rPr/>
            </w:pPr>
            <w:r>
              <w:rPr/>
              <w:t> </w:t>
            </w:r>
            <w:bookmarkStart w:id="422" w:name="xdx_40F_eus-gaap--RevenueFromContractWit"/>
            <w:bookmarkEnd w:id="422"/>
          </w:p>
        </w:tc>
      </w:tr>
      <w:tr>
        <w:trPr/>
        <w:tc>
          <w:tcPr>
            <w:tcW w:w="2225" w:type="dxa"/>
            <w:tcBorders/>
            <w:shd w:fill="FFFFFF" w:val="clear"/>
            <w:vAlign w:val="center"/>
          </w:tcPr>
          <w:p>
            <w:pPr>
              <w:pStyle w:val="TableContents"/>
              <w:bidi w:val="0"/>
              <w:spacing w:before="0" w:after="283"/>
              <w:jc w:val="left"/>
              <w:rPr/>
            </w:pPr>
            <w:r>
              <w:rPr/>
              <w:t>Revenues-International</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b/>
              </w:rPr>
            </w:pPr>
            <w:r>
              <w:rPr>
                <w:b/>
              </w:rPr>
              <w:t>1,706,449</w:t>
            </w:r>
          </w:p>
        </w:tc>
        <w:tc>
          <w:tcPr>
            <w:tcW w:w="112"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1,138,830</w:t>
            </w:r>
          </w:p>
        </w:tc>
        <w:tc>
          <w:tcPr>
            <w:tcW w:w="110" w:type="dxa"/>
            <w:tcBorders/>
            <w:shd w:fill="FFFFFF" w:val="clear"/>
            <w:vAlign w:val="center"/>
          </w:tcPr>
          <w:p>
            <w:pPr>
              <w:pStyle w:val="TableContents"/>
              <w:bidi w:val="0"/>
              <w:spacing w:before="0" w:after="283"/>
              <w:jc w:val="left"/>
              <w:rPr/>
            </w:pPr>
            <w:r>
              <w:rPr/>
              <w:t> </w:t>
            </w:r>
            <w:bookmarkStart w:id="423" w:name="xdx_408_eus-gaap--RevenueFromContractWit"/>
            <w:bookmarkEnd w:id="423"/>
          </w:p>
        </w:tc>
      </w:tr>
      <w:tr>
        <w:trPr/>
        <w:tc>
          <w:tcPr>
            <w:tcW w:w="2225" w:type="dxa"/>
            <w:tcBorders/>
            <w:shd w:fill="CCEEFF" w:val="clear"/>
            <w:vAlign w:val="center"/>
          </w:tcPr>
          <w:p>
            <w:pPr>
              <w:pStyle w:val="TableContents"/>
              <w:bidi w:val="0"/>
              <w:spacing w:before="0" w:after="283"/>
              <w:jc w:val="left"/>
              <w:rPr/>
            </w:pPr>
            <w:r>
              <w:rPr/>
              <w:t>Revenues-Other</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b/>
              </w:rPr>
            </w:pPr>
            <w:r>
              <w:rPr>
                <w:b/>
              </w:rPr>
              <w:t>404,851</w:t>
            </w:r>
          </w:p>
        </w:tc>
        <w:tc>
          <w:tcPr>
            <w:tcW w:w="11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pPr>
            <w:r>
              <w:rPr/>
              <w:t>37,367</w:t>
            </w:r>
          </w:p>
        </w:tc>
        <w:tc>
          <w:tcPr>
            <w:tcW w:w="110" w:type="dxa"/>
            <w:tcBorders/>
            <w:shd w:fill="CCEEFF" w:val="clear"/>
            <w:vAlign w:val="center"/>
          </w:tcPr>
          <w:p>
            <w:pPr>
              <w:pStyle w:val="TableContents"/>
              <w:bidi w:val="0"/>
              <w:spacing w:before="0" w:after="283"/>
              <w:jc w:val="left"/>
              <w:rPr/>
            </w:pPr>
            <w:r>
              <w:rPr/>
              <w:t> </w:t>
            </w:r>
            <w:bookmarkStart w:id="424" w:name="xdx_401_eus-gaap--RevenueFromContractWit"/>
            <w:bookmarkEnd w:id="424"/>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404,851</w:t>
            </w:r>
          </w:p>
        </w:tc>
        <w:tc>
          <w:tcPr>
            <w:tcW w:w="11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30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37,367</w:t>
            </w:r>
          </w:p>
        </w:tc>
        <w:tc>
          <w:tcPr>
            <w:tcW w:w="110" w:type="dxa"/>
            <w:tcBorders/>
            <w:shd w:fill="CCEEFF" w:val="clear"/>
            <w:vAlign w:val="center"/>
          </w:tcPr>
          <w:p>
            <w:pPr>
              <w:pStyle w:val="TableContents"/>
              <w:bidi w:val="0"/>
              <w:spacing w:before="0" w:after="283"/>
              <w:jc w:val="left"/>
              <w:rPr/>
            </w:pPr>
            <w:r>
              <w:rPr/>
              <w:t> </w:t>
            </w:r>
            <w:bookmarkStart w:id="425" w:name="xdx_40C_ecustom--DisaggregationOfRevenue"/>
            <w:bookmarkEnd w:id="425"/>
          </w:p>
        </w:tc>
      </w:tr>
      <w:tr>
        <w:trPr/>
        <w:tc>
          <w:tcPr>
            <w:tcW w:w="2225" w:type="dxa"/>
            <w:tcBorders/>
            <w:shd w:fill="FFFFFF" w:val="clear"/>
            <w:vAlign w:val="center"/>
          </w:tcPr>
          <w:p>
            <w:pPr>
              <w:pStyle w:val="TableContents"/>
              <w:bidi w:val="0"/>
              <w:spacing w:before="0" w:after="283"/>
              <w:jc w:val="left"/>
              <w:rPr/>
            </w:pPr>
            <w:r>
              <w:rPr/>
              <w:t>Sales returns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b/>
              </w:rPr>
            </w:pPr>
            <w:r>
              <w:rPr>
                <w:b/>
              </w:rPr>
              <w:t>(2,597,429</w:t>
            </w:r>
          </w:p>
        </w:tc>
        <w:tc>
          <w:tcPr>
            <w:tcW w:w="112" w:type="dxa"/>
            <w:tcBorders/>
            <w:shd w:fill="FFFFFF" w:val="clear"/>
            <w:vAlign w:val="center"/>
          </w:tcPr>
          <w:p>
            <w:pPr>
              <w:pStyle w:val="TableContents"/>
              <w:bidi w:val="0"/>
              <w:spacing w:before="0" w:after="283"/>
              <w:jc w:val="left"/>
              <w:rPr>
                <w:b/>
              </w:rPr>
            </w:pPr>
            <w:r>
              <w:rPr>
                <w:b/>
              </w:rPr>
              <w:t>)</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(2,198,454</w:t>
            </w:r>
          </w:p>
        </w:tc>
        <w:tc>
          <w:tcPr>
            <w:tcW w:w="110" w:type="dxa"/>
            <w:tcBorders/>
            <w:shd w:fill="FFFFFF" w:val="clear"/>
            <w:vAlign w:val="center"/>
          </w:tcPr>
          <w:p>
            <w:pPr>
              <w:pStyle w:val="TableContents"/>
              <w:bidi w:val="0"/>
              <w:spacing w:before="0" w:after="283"/>
              <w:jc w:val="left"/>
              <w:rPr/>
            </w:pPr>
            <w:r>
              <w:rPr/>
              <w:t>)</w:t>
            </w:r>
            <w:bookmarkStart w:id="426" w:name="xdx_406_ecustom--DisaggregationOfRevenue"/>
            <w:bookmarkEnd w:id="426"/>
          </w:p>
        </w:tc>
      </w:tr>
      <w:tr>
        <w:trPr/>
        <w:tc>
          <w:tcPr>
            <w:tcW w:w="2225" w:type="dxa"/>
            <w:tcBorders/>
            <w:shd w:fill="CCEEFF" w:val="clear"/>
            <w:vAlign w:val="center"/>
          </w:tcPr>
          <w:p>
            <w:pPr>
              <w:pStyle w:val="TableContents"/>
              <w:bidi w:val="0"/>
              <w:spacing w:before="0" w:after="283"/>
              <w:jc w:val="left"/>
              <w:rPr/>
            </w:pPr>
            <w:r>
              <w:rPr/>
              <w:t>Discounts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(342,925</w:t>
            </w:r>
          </w:p>
        </w:tc>
        <w:tc>
          <w:tcPr>
            <w:tcW w:w="112" w:type="dxa"/>
            <w:tcBorders/>
            <w:shd w:fill="CCEEFF" w:val="clear"/>
            <w:vAlign w:val="center"/>
          </w:tcPr>
          <w:p>
            <w:pPr>
              <w:pStyle w:val="TableContents"/>
              <w:bidi w:val="0"/>
              <w:spacing w:before="0" w:after="283"/>
              <w:jc w:val="left"/>
              <w:rPr>
                <w:b/>
              </w:rPr>
            </w:pPr>
            <w:r>
              <w:rPr>
                <w:b/>
              </w:rPr>
              <w:t>)</w:t>
            </w:r>
          </w:p>
        </w:tc>
        <w:tc>
          <w:tcPr>
            <w:tcW w:w="71"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4" w:type="dxa"/>
            <w:tcBorders>
              <w:bottom w:val="single" w:sz="8" w:space="0" w:color="000000"/>
            </w:tcBorders>
            <w:shd w:fill="CCEEFF" w:val="clear"/>
            <w:tcMar>
              <w:bottom w:w="28" w:type="dxa"/>
            </w:tcMar>
            <w:vAlign w:val="center"/>
          </w:tcPr>
          <w:p>
            <w:pPr>
              <w:pStyle w:val="TableContents"/>
              <w:bidi w:val="0"/>
              <w:spacing w:before="0" w:after="283"/>
              <w:jc w:val="right"/>
              <w:rPr/>
            </w:pPr>
            <w:r>
              <w:rPr/>
              <w:t>(183,149</w:t>
            </w:r>
          </w:p>
        </w:tc>
        <w:tc>
          <w:tcPr>
            <w:tcW w:w="110" w:type="dxa"/>
            <w:tcBorders/>
            <w:shd w:fill="CCEEFF" w:val="clear"/>
            <w:vAlign w:val="center"/>
          </w:tcPr>
          <w:p>
            <w:pPr>
              <w:pStyle w:val="TableContents"/>
              <w:bidi w:val="0"/>
              <w:spacing w:before="0" w:after="283"/>
              <w:jc w:val="left"/>
              <w:rPr/>
            </w:pPr>
            <w:r>
              <w:rPr/>
              <w:t>)</w:t>
            </w:r>
            <w:bookmarkStart w:id="427" w:name="xdx_409_eus-gaap--RevenueFromContractWit"/>
            <w:bookmarkEnd w:id="427"/>
          </w:p>
        </w:tc>
      </w:tr>
      <w:tr>
        <w:trPr/>
        <w:tc>
          <w:tcPr>
            <w:tcW w:w="222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0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33,944,191</w:t>
            </w:r>
          </w:p>
        </w:tc>
        <w:tc>
          <w:tcPr>
            <w:tcW w:w="112"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04" w:type="dxa"/>
            <w:tcBorders>
              <w:bottom w:val="double" w:sz="6" w:space="0" w:color="000000"/>
            </w:tcBorders>
            <w:shd w:fill="FFFFFF" w:val="clear"/>
            <w:tcMar>
              <w:bottom w:w="28" w:type="dxa"/>
            </w:tcMar>
            <w:vAlign w:val="center"/>
          </w:tcPr>
          <w:p>
            <w:pPr>
              <w:pStyle w:val="TableContents"/>
              <w:bidi w:val="0"/>
              <w:spacing w:before="0" w:after="283"/>
              <w:jc w:val="right"/>
              <w:rPr/>
            </w:pPr>
            <w:r>
              <w:rPr/>
              <w:t>27,103,106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218" w:type="dxa"/>
        <w:jc w:val="left"/>
        <w:tblInd w:w="0" w:type="dxa"/>
        <w:tblLayout w:type="fixed"/>
        <w:tblCellMar>
          <w:top w:w="0" w:type="dxa"/>
          <w:left w:w="0" w:type="dxa"/>
          <w:bottom w:w="0" w:type="dxa"/>
          <w:right w:w="0" w:type="dxa"/>
        </w:tblCellMar>
      </w:tblPr>
      <w:tblGrid>
        <w:gridCol w:w="2225"/>
        <w:gridCol w:w="60"/>
        <w:gridCol w:w="150"/>
        <w:gridCol w:w="1179"/>
        <w:gridCol w:w="101"/>
        <w:gridCol w:w="64"/>
        <w:gridCol w:w="150"/>
        <w:gridCol w:w="1179"/>
        <w:gridCol w:w="110"/>
      </w:tblGrid>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28" w:name="xdx_494_20260101__20260630_zwFKBZs3kxv1"/>
            <w:bookmarkEnd w:id="428"/>
          </w:p>
        </w:tc>
        <w:tc>
          <w:tcPr>
            <w:tcW w:w="13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bookmarkStart w:id="429" w:name="xdx_498_20250101__20250630_z0jDqylMNLgg"/>
            <w:bookmarkEnd w:id="429"/>
          </w:p>
        </w:tc>
        <w:tc>
          <w:tcPr>
            <w:tcW w:w="1329"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2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29"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9"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2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430" w:name="xdx_405_eus-gaap--RevenueFromContractWit"/>
            <w:bookmarkEnd w:id="430"/>
          </w:p>
        </w:tc>
      </w:tr>
      <w:tr>
        <w:trPr/>
        <w:tc>
          <w:tcPr>
            <w:tcW w:w="2225" w:type="dxa"/>
            <w:tcBorders/>
            <w:shd w:fill="CCEEFF" w:val="clear"/>
            <w:vAlign w:val="center"/>
          </w:tcPr>
          <w:p>
            <w:pPr>
              <w:pStyle w:val="TableContents"/>
              <w:bidi w:val="0"/>
              <w:spacing w:before="0" w:after="283"/>
              <w:jc w:val="left"/>
              <w:rPr/>
            </w:pPr>
            <w:r>
              <w:rPr/>
              <w:t>Revenues-U.S.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b/>
              </w:rPr>
            </w:pPr>
            <w:r>
              <w:rPr>
                <w:b/>
              </w:rPr>
              <w:t>$</w:t>
            </w:r>
          </w:p>
        </w:tc>
        <w:tc>
          <w:tcPr>
            <w:tcW w:w="1179" w:type="dxa"/>
            <w:tcBorders/>
            <w:shd w:fill="CCEEFF" w:val="clear"/>
            <w:vAlign w:val="center"/>
          </w:tcPr>
          <w:p>
            <w:pPr>
              <w:pStyle w:val="TableContents"/>
              <w:bidi w:val="0"/>
              <w:spacing w:before="0" w:after="283"/>
              <w:jc w:val="right"/>
              <w:rPr>
                <w:b/>
              </w:rPr>
            </w:pPr>
            <w:r>
              <w:rPr>
                <w:b/>
              </w:rPr>
              <w:t>65,372,658</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1179" w:type="dxa"/>
            <w:tcBorders/>
            <w:shd w:fill="CCEEFF" w:val="clear"/>
            <w:vAlign w:val="center"/>
          </w:tcPr>
          <w:p>
            <w:pPr>
              <w:pStyle w:val="TableContents"/>
              <w:bidi w:val="0"/>
              <w:spacing w:before="0" w:after="283"/>
              <w:jc w:val="right"/>
              <w:rPr/>
            </w:pPr>
            <w:r>
              <w:rPr/>
              <w:t>54,911,059</w:t>
            </w:r>
          </w:p>
        </w:tc>
        <w:tc>
          <w:tcPr>
            <w:tcW w:w="110" w:type="dxa"/>
            <w:tcBorders/>
            <w:shd w:fill="CCEEFF" w:val="clear"/>
            <w:vAlign w:val="center"/>
          </w:tcPr>
          <w:p>
            <w:pPr>
              <w:pStyle w:val="TableContents"/>
              <w:bidi w:val="0"/>
              <w:spacing w:before="0" w:after="283"/>
              <w:jc w:val="left"/>
              <w:rPr/>
            </w:pPr>
            <w:r>
              <w:rPr/>
              <w:t> </w:t>
            </w:r>
            <w:bookmarkStart w:id="431" w:name="xdx_40A_eus-gaap--RevenueFromContractWit"/>
            <w:bookmarkEnd w:id="431"/>
          </w:p>
        </w:tc>
      </w:tr>
      <w:tr>
        <w:trPr/>
        <w:tc>
          <w:tcPr>
            <w:tcW w:w="2225" w:type="dxa"/>
            <w:tcBorders/>
            <w:shd w:fill="FFFFFF" w:val="clear"/>
            <w:vAlign w:val="center"/>
          </w:tcPr>
          <w:p>
            <w:pPr>
              <w:pStyle w:val="TableContents"/>
              <w:bidi w:val="0"/>
              <w:spacing w:before="0" w:after="283"/>
              <w:jc w:val="left"/>
              <w:rPr/>
            </w:pPr>
            <w:r>
              <w:rPr/>
              <w:t>Revenues-International</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b/>
              </w:rPr>
            </w:pPr>
            <w:r>
              <w:rPr>
                <w:b/>
              </w:rPr>
              <w:t>3,266,977</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2,090,269</w:t>
            </w:r>
          </w:p>
        </w:tc>
        <w:tc>
          <w:tcPr>
            <w:tcW w:w="110" w:type="dxa"/>
            <w:tcBorders/>
            <w:shd w:fill="FFFFFF" w:val="clear"/>
            <w:vAlign w:val="center"/>
          </w:tcPr>
          <w:p>
            <w:pPr>
              <w:pStyle w:val="TableContents"/>
              <w:bidi w:val="0"/>
              <w:spacing w:before="0" w:after="283"/>
              <w:jc w:val="left"/>
              <w:rPr/>
            </w:pPr>
            <w:r>
              <w:rPr/>
              <w:t> </w:t>
            </w:r>
            <w:bookmarkStart w:id="432" w:name="xdx_40F_eus-gaap--RevenueFromContractWit"/>
            <w:bookmarkEnd w:id="432"/>
          </w:p>
        </w:tc>
      </w:tr>
      <w:tr>
        <w:trPr/>
        <w:tc>
          <w:tcPr>
            <w:tcW w:w="2225" w:type="dxa"/>
            <w:tcBorders/>
            <w:shd w:fill="CCEEFF" w:val="clear"/>
            <w:vAlign w:val="center"/>
          </w:tcPr>
          <w:p>
            <w:pPr>
              <w:pStyle w:val="TableContents"/>
              <w:bidi w:val="0"/>
              <w:spacing w:before="0" w:after="283"/>
              <w:jc w:val="left"/>
              <w:rPr/>
            </w:pPr>
            <w:r>
              <w:rPr/>
              <w:t>Revenues-Other</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b/>
              </w:rPr>
            </w:pPr>
            <w:r>
              <w:rPr>
                <w:b/>
              </w:rPr>
              <w:t>665,354</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339,621</w:t>
            </w:r>
          </w:p>
        </w:tc>
        <w:tc>
          <w:tcPr>
            <w:tcW w:w="110" w:type="dxa"/>
            <w:tcBorders/>
            <w:shd w:fill="CCEEFF" w:val="clear"/>
            <w:vAlign w:val="center"/>
          </w:tcPr>
          <w:p>
            <w:pPr>
              <w:pStyle w:val="TableContents"/>
              <w:bidi w:val="0"/>
              <w:spacing w:before="0" w:after="283"/>
              <w:jc w:val="left"/>
              <w:rPr/>
            </w:pPr>
            <w:r>
              <w:rPr/>
              <w:t> </w:t>
            </w:r>
            <w:bookmarkStart w:id="433" w:name="xdx_405_eus-gaap--RevenueFromContractWit"/>
            <w:bookmarkEnd w:id="433"/>
          </w:p>
        </w:tc>
      </w:tr>
      <w:tr>
        <w:trPr/>
        <w:tc>
          <w:tcPr>
            <w:tcW w:w="22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665,354</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339,621</w:t>
            </w:r>
          </w:p>
        </w:tc>
        <w:tc>
          <w:tcPr>
            <w:tcW w:w="110" w:type="dxa"/>
            <w:tcBorders/>
            <w:shd w:fill="CCEEFF" w:val="clear"/>
            <w:vAlign w:val="center"/>
          </w:tcPr>
          <w:p>
            <w:pPr>
              <w:pStyle w:val="TableContents"/>
              <w:bidi w:val="0"/>
              <w:spacing w:before="0" w:after="283"/>
              <w:jc w:val="left"/>
              <w:rPr/>
            </w:pPr>
            <w:r>
              <w:rPr/>
              <w:t> </w:t>
            </w:r>
            <w:bookmarkStart w:id="434" w:name="xdx_40C_ecustom--DisaggregationOfRevenue"/>
            <w:bookmarkEnd w:id="434"/>
          </w:p>
        </w:tc>
      </w:tr>
      <w:tr>
        <w:trPr/>
        <w:tc>
          <w:tcPr>
            <w:tcW w:w="2225" w:type="dxa"/>
            <w:tcBorders/>
            <w:shd w:fill="FFFFFF" w:val="clear"/>
            <w:vAlign w:val="center"/>
          </w:tcPr>
          <w:p>
            <w:pPr>
              <w:pStyle w:val="TableContents"/>
              <w:bidi w:val="0"/>
              <w:spacing w:before="0" w:after="283"/>
              <w:jc w:val="left"/>
              <w:rPr/>
            </w:pPr>
            <w:r>
              <w:rPr/>
              <w:t>Sales returns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b/>
              </w:rPr>
            </w:pPr>
            <w:r>
              <w:rPr>
                <w:b/>
              </w:rPr>
              <w:t>(4,779,490</w:t>
            </w:r>
          </w:p>
        </w:tc>
        <w:tc>
          <w:tcPr>
            <w:tcW w:w="101" w:type="dxa"/>
            <w:tcBorders/>
            <w:shd w:fill="FFFFFF" w:val="clear"/>
            <w:vAlign w:val="center"/>
          </w:tcPr>
          <w:p>
            <w:pPr>
              <w:pStyle w:val="TableContents"/>
              <w:bidi w:val="0"/>
              <w:spacing w:before="0" w:after="283"/>
              <w:jc w:val="left"/>
              <w:rPr>
                <w:b/>
              </w:rPr>
            </w:pPr>
            <w:r>
              <w:rPr>
                <w:b/>
              </w:rPr>
              <w:t>)</w:t>
            </w:r>
          </w:p>
        </w:tc>
        <w:tc>
          <w:tcPr>
            <w:tcW w:w="64"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(3,966,013</w:t>
            </w:r>
          </w:p>
        </w:tc>
        <w:tc>
          <w:tcPr>
            <w:tcW w:w="110" w:type="dxa"/>
            <w:tcBorders/>
            <w:shd w:fill="FFFFFF" w:val="clear"/>
            <w:vAlign w:val="center"/>
          </w:tcPr>
          <w:p>
            <w:pPr>
              <w:pStyle w:val="TableContents"/>
              <w:bidi w:val="0"/>
              <w:spacing w:before="0" w:after="283"/>
              <w:jc w:val="left"/>
              <w:rPr/>
            </w:pPr>
            <w:r>
              <w:rPr/>
              <w:t>)</w:t>
            </w:r>
            <w:bookmarkStart w:id="435" w:name="xdx_406_ecustom--DisaggregationOfRevenue"/>
            <w:bookmarkEnd w:id="435"/>
          </w:p>
        </w:tc>
      </w:tr>
      <w:tr>
        <w:trPr/>
        <w:tc>
          <w:tcPr>
            <w:tcW w:w="2225" w:type="dxa"/>
            <w:tcBorders/>
            <w:shd w:fill="CCEEFF" w:val="clear"/>
            <w:vAlign w:val="center"/>
          </w:tcPr>
          <w:p>
            <w:pPr>
              <w:pStyle w:val="TableContents"/>
              <w:bidi w:val="0"/>
              <w:spacing w:before="0" w:after="283"/>
              <w:jc w:val="left"/>
              <w:rPr/>
            </w:pPr>
            <w:r>
              <w:rPr/>
              <w:t>Discounts</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(650,966</w:t>
            </w:r>
          </w:p>
        </w:tc>
        <w:tc>
          <w:tcPr>
            <w:tcW w:w="101" w:type="dxa"/>
            <w:tcBorders/>
            <w:shd w:fill="CCEEFF" w:val="clear"/>
            <w:vAlign w:val="center"/>
          </w:tcPr>
          <w:p>
            <w:pPr>
              <w:pStyle w:val="TableContents"/>
              <w:bidi w:val="0"/>
              <w:spacing w:before="0" w:after="283"/>
              <w:jc w:val="left"/>
              <w:rPr>
                <w:b/>
              </w:rPr>
            </w:pPr>
            <w:r>
              <w:rPr>
                <w:b/>
              </w:rPr>
              <w:t>)</w:t>
            </w:r>
          </w:p>
        </w:tc>
        <w:tc>
          <w:tcPr>
            <w:tcW w:w="64"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9" w:type="dxa"/>
            <w:tcBorders>
              <w:bottom w:val="single" w:sz="8" w:space="0" w:color="000000"/>
            </w:tcBorders>
            <w:shd w:fill="CCEEFF" w:val="clear"/>
            <w:tcMar>
              <w:bottom w:w="28" w:type="dxa"/>
            </w:tcMar>
            <w:vAlign w:val="center"/>
          </w:tcPr>
          <w:p>
            <w:pPr>
              <w:pStyle w:val="TableContents"/>
              <w:bidi w:val="0"/>
              <w:spacing w:before="0" w:after="283"/>
              <w:jc w:val="right"/>
              <w:rPr/>
            </w:pPr>
            <w:r>
              <w:rPr/>
              <w:t>(434,740</w:t>
            </w:r>
          </w:p>
        </w:tc>
        <w:tc>
          <w:tcPr>
            <w:tcW w:w="110" w:type="dxa"/>
            <w:tcBorders/>
            <w:shd w:fill="CCEEFF" w:val="clear"/>
            <w:vAlign w:val="center"/>
          </w:tcPr>
          <w:p>
            <w:pPr>
              <w:pStyle w:val="TableContents"/>
              <w:bidi w:val="0"/>
              <w:spacing w:before="0" w:after="283"/>
              <w:jc w:val="left"/>
              <w:rPr/>
            </w:pPr>
            <w:r>
              <w:rPr/>
              <w:t>)</w:t>
            </w:r>
            <w:bookmarkStart w:id="436" w:name="xdx_409_eus-gaap--RevenueFromContractWit"/>
            <w:bookmarkEnd w:id="436"/>
          </w:p>
        </w:tc>
      </w:tr>
      <w:tr>
        <w:trPr/>
        <w:tc>
          <w:tcPr>
            <w:tcW w:w="222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7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63,874,533</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9" w:type="dxa"/>
            <w:tcBorders>
              <w:bottom w:val="double" w:sz="6" w:space="0" w:color="000000"/>
            </w:tcBorders>
            <w:shd w:fill="FFFFFF" w:val="clear"/>
            <w:tcMar>
              <w:bottom w:w="28" w:type="dxa"/>
            </w:tcMar>
            <w:vAlign w:val="center"/>
          </w:tcPr>
          <w:p>
            <w:pPr>
              <w:pStyle w:val="TableContents"/>
              <w:bidi w:val="0"/>
              <w:spacing w:before="0" w:after="283"/>
              <w:jc w:val="right"/>
              <w:rPr/>
            </w:pPr>
            <w:r>
              <w:rPr/>
              <w:t>52,940,196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37" w:name="xdx_8AE_zSGPSDS2Fh47"/>
      <w:bookmarkEnd w:id="437"/>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38" w:name="xdx_808_eus-gaap--IncomeTaxDisclosureTex"/>
      <w:bookmarkEnd w:id="438"/>
      <w:r>
        <w:rPr>
          <w:rFonts w:ascii="Times New Roman;Times;Serif" w:hAnsi="Times New Roman;Times;Serif"/>
          <w:b/>
          <w:i w:val="false"/>
          <w:caps w:val="false"/>
          <w:smallCaps w:val="false"/>
          <w:sz w:val="20"/>
        </w:rPr>
        <w:t xml:space="preserve">NOTE 12 - </w:t>
      </w:r>
      <w:bookmarkStart w:id="439" w:name="xdx_825_z4RcNH6eTF21"/>
      <w:bookmarkEnd w:id="439"/>
      <w:r>
        <w:rPr>
          <w:rFonts w:ascii="Times New Roman;Times;Serif" w:hAnsi="Times New Roman;Times;Serif"/>
          <w:b/>
          <w:i w:val="false"/>
          <w:caps w:val="false"/>
          <w:smallCaps w:val="false"/>
          <w:sz w:val="20"/>
        </w:rPr>
        <w:t>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0" w:name="xdx_89B_eus-gaap--ScheduleOfEffectiveInc"/>
      <w:bookmarkEnd w:id="440"/>
      <w:r>
        <w:rPr>
          <w:rFonts w:ascii="Times New Roman;Times;Serif" w:hAnsi="Times New Roman;Times;Serif"/>
          <w:b w:val="false"/>
          <w:i w:val="false"/>
          <w:caps w:val="false"/>
          <w:smallCaps w:val="false"/>
          <w:sz w:val="20"/>
        </w:rPr>
        <w:t>The components of income taxes expense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1" w:name="xdx_8B1_zXEPHT3cHung"/>
      <w:bookmarkEnd w:id="441"/>
      <w:r>
        <w:rPr>
          <w:rFonts w:ascii="Times New Roman;Times;Serif" w:hAnsi="Times New Roman;Times;Serif"/>
          <w:b w:val="false"/>
          <w:i w:val="false"/>
          <w:caps w:val="false"/>
          <w:smallCaps w:val="false"/>
          <w:sz w:val="20"/>
        </w:rPr>
        <w:t>Schedule of Effective Tax Rate Reconciliation</w:t>
      </w:r>
    </w:p>
    <w:tbl>
      <w:tblPr>
        <w:tblW w:w="7870" w:type="dxa"/>
        <w:jc w:val="left"/>
        <w:tblInd w:w="0" w:type="dxa"/>
        <w:tblLayout w:type="fixed"/>
        <w:tblCellMar>
          <w:top w:w="0" w:type="dxa"/>
          <w:left w:w="0" w:type="dxa"/>
          <w:bottom w:w="28" w:type="dxa"/>
          <w:right w:w="0" w:type="dxa"/>
        </w:tblCellMar>
      </w:tblPr>
      <w:tblGrid>
        <w:gridCol w:w="4550"/>
        <w:gridCol w:w="60"/>
        <w:gridCol w:w="140"/>
        <w:gridCol w:w="980"/>
        <w:gridCol w:w="60"/>
        <w:gridCol w:w="60"/>
        <w:gridCol w:w="60"/>
        <w:gridCol w:w="560"/>
        <w:gridCol w:w="215"/>
        <w:gridCol w:w="60"/>
        <w:gridCol w:w="140"/>
        <w:gridCol w:w="875"/>
        <w:gridCol w:w="110"/>
      </w:tblGrid>
      <w:tr>
        <w:trPr/>
        <w:tc>
          <w:tcPr>
            <w:tcW w:w="7870" w:type="dxa"/>
            <w:gridSpan w:val="13"/>
            <w:tcBorders>
              <w:bottom w:val="single" w:sz="8" w:space="0" w:color="000000"/>
            </w:tcBorders>
            <w:vAlign w:val="center"/>
          </w:tcPr>
          <w:p>
            <w:pPr>
              <w:pStyle w:val="TableContents"/>
              <w:bidi w:val="0"/>
              <w:spacing w:before="0" w:after="283"/>
              <w:jc w:val="center"/>
              <w:rPr>
                <w:b/>
              </w:rPr>
            </w:pPr>
            <w:r>
              <w:rPr>
                <w:b/>
              </w:rPr>
              <w:t>Effective Tax Rate Reconciliation for the Six Months Ended June 30, 2026</w:t>
            </w:r>
          </w:p>
        </w:tc>
      </w:tr>
      <w:tr>
        <w:trPr/>
        <w:tc>
          <w:tcPr>
            <w:tcW w:w="4550" w:type="dxa"/>
            <w:tcBorders/>
            <w:shd w:fill="CCEEFF" w:val="clear"/>
            <w:tcMar>
              <w:bottom w:w="0" w:type="dxa"/>
            </w:tcMar>
            <w:vAlign w:val="center"/>
          </w:tcPr>
          <w:p>
            <w:pPr>
              <w:pStyle w:val="TableContents"/>
              <w:bidi w:val="0"/>
              <w:spacing w:before="0" w:after="283"/>
              <w:jc w:val="left"/>
              <w:rPr/>
            </w:pPr>
            <w:r>
              <w:rPr/>
              <w:t>Pretax book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442" w:name="xdx_981_eus-gaap--IncomeLossFromContinui"/>
            <w:bookmarkEnd w:id="442"/>
          </w:p>
        </w:tc>
        <w:tc>
          <w:tcPr>
            <w:tcW w:w="980" w:type="dxa"/>
            <w:tcBorders/>
            <w:shd w:fill="CCEEFF" w:val="clear"/>
            <w:tcMar>
              <w:bottom w:w="0" w:type="dxa"/>
            </w:tcMar>
            <w:vAlign w:val="center"/>
          </w:tcPr>
          <w:p>
            <w:pPr>
              <w:pStyle w:val="TableContents"/>
              <w:bidi w:val="0"/>
              <w:spacing w:before="0" w:after="283"/>
              <w:jc w:val="right"/>
              <w:rPr/>
            </w:pPr>
            <w:r>
              <w:rPr/>
              <w:t>2,390,816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443" w:name="xdx_98C_eus-gaap--EffectiveIncomeTaxRate"/>
            <w:bookmarkEnd w:id="443"/>
          </w:p>
        </w:tc>
        <w:tc>
          <w:tcPr>
            <w:tcW w:w="560" w:type="dxa"/>
            <w:tcBorders/>
            <w:shd w:fill="CCEEFF" w:val="clear"/>
            <w:tcMar>
              <w:bottom w:w="0" w:type="dxa"/>
            </w:tcMar>
            <w:vAlign w:val="center"/>
          </w:tcPr>
          <w:p>
            <w:pPr>
              <w:pStyle w:val="TableContents"/>
              <w:bidi w:val="0"/>
              <w:spacing w:before="0" w:after="283"/>
              <w:jc w:val="right"/>
              <w:rPr/>
            </w:pPr>
            <w:r>
              <w:rPr/>
              <w:t>21.00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444" w:name="xdx_98B_eus-gaap--IncomeTaxReconciliatio"/>
            <w:bookmarkEnd w:id="444"/>
          </w:p>
        </w:tc>
        <w:tc>
          <w:tcPr>
            <w:tcW w:w="875" w:type="dxa"/>
            <w:tcBorders/>
            <w:shd w:fill="CCEEFF" w:val="clear"/>
            <w:tcMar>
              <w:bottom w:w="0" w:type="dxa"/>
            </w:tcMar>
            <w:vAlign w:val="center"/>
          </w:tcPr>
          <w:p>
            <w:pPr>
              <w:pStyle w:val="TableContents"/>
              <w:bidi w:val="0"/>
              <w:spacing w:before="0" w:after="283"/>
              <w:jc w:val="right"/>
              <w:rPr/>
            </w:pPr>
            <w:r>
              <w:rPr/>
              <w:t>502,071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550" w:type="dxa"/>
            <w:tcBorders/>
            <w:shd w:fill="FFFFFF" w:val="clear"/>
            <w:tcMar>
              <w:bottom w:w="0" w:type="dxa"/>
            </w:tcMar>
            <w:vAlign w:val="center"/>
          </w:tcPr>
          <w:p>
            <w:pPr>
              <w:pStyle w:val="TableContents"/>
              <w:bidi w:val="0"/>
              <w:spacing w:before="0" w:after="283"/>
              <w:jc w:val="left"/>
              <w:rPr/>
            </w:pPr>
            <w:r>
              <w:rPr/>
              <w:t>Permanent differences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445" w:name="xdx_98C_ecustom--IncomeTaxReconciliation"/>
            <w:bookmarkEnd w:id="445"/>
          </w:p>
        </w:tc>
        <w:tc>
          <w:tcPr>
            <w:tcW w:w="980" w:type="dxa"/>
            <w:tcBorders/>
            <w:shd w:fill="FFFFFF" w:val="clear"/>
            <w:tcMar>
              <w:bottom w:w="0" w:type="dxa"/>
            </w:tcMar>
            <w:vAlign w:val="center"/>
          </w:tcPr>
          <w:p>
            <w:pPr>
              <w:pStyle w:val="TableContents"/>
              <w:bidi w:val="0"/>
              <w:spacing w:before="0" w:after="283"/>
              <w:jc w:val="right"/>
              <w:rPr/>
            </w:pPr>
            <w:r>
              <w:rPr/>
              <w:t>43,855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446" w:name="xdx_980_eus-gaap--EffectiveIncomeTaxRate"/>
            <w:bookmarkEnd w:id="446"/>
          </w:p>
        </w:tc>
        <w:tc>
          <w:tcPr>
            <w:tcW w:w="560" w:type="dxa"/>
            <w:tcBorders/>
            <w:shd w:fill="FFFFFF" w:val="clear"/>
            <w:tcMar>
              <w:bottom w:w="0" w:type="dxa"/>
            </w:tcMar>
            <w:vAlign w:val="center"/>
          </w:tcPr>
          <w:p>
            <w:pPr>
              <w:pStyle w:val="TableContents"/>
              <w:bidi w:val="0"/>
              <w:spacing w:before="0" w:after="283"/>
              <w:jc w:val="right"/>
              <w:rPr/>
            </w:pPr>
            <w:r>
              <w:rPr/>
              <w:t>0.39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447" w:name="xdx_983_eus-gaap--IncomeTaxReconciliatio"/>
            <w:bookmarkEnd w:id="447"/>
          </w:p>
        </w:tc>
        <w:tc>
          <w:tcPr>
            <w:tcW w:w="875" w:type="dxa"/>
            <w:tcBorders/>
            <w:shd w:fill="FFFFFF" w:val="clear"/>
            <w:tcMar>
              <w:bottom w:w="0" w:type="dxa"/>
            </w:tcMar>
            <w:vAlign w:val="center"/>
          </w:tcPr>
          <w:p>
            <w:pPr>
              <w:pStyle w:val="TableContents"/>
              <w:bidi w:val="0"/>
              <w:spacing w:before="0" w:after="283"/>
              <w:jc w:val="right"/>
              <w:rPr/>
            </w:pPr>
            <w:r>
              <w:rPr/>
              <w:t>9,210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550" w:type="dxa"/>
            <w:tcBorders/>
            <w:shd w:fill="CCEEFF" w:val="clear"/>
            <w:tcMar>
              <w:bottom w:w="0" w:type="dxa"/>
            </w:tcMar>
            <w:vAlign w:val="center"/>
          </w:tcPr>
          <w:p>
            <w:pPr>
              <w:pStyle w:val="TableContents"/>
              <w:bidi w:val="0"/>
              <w:spacing w:before="0" w:after="283"/>
              <w:jc w:val="left"/>
              <w:rPr/>
            </w:pPr>
            <w:r>
              <w:rPr/>
              <w:t>Prior year federal permanent differences true-up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448" w:name="xdx_98B_ecustom--IncomeTaxReconciliation"/>
            <w:bookmarkEnd w:id="448"/>
          </w:p>
        </w:tc>
        <w:tc>
          <w:tcPr>
            <w:tcW w:w="980" w:type="dxa"/>
            <w:tcBorders/>
            <w:shd w:fill="CCEEFF" w:val="clear"/>
            <w:tcMar>
              <w:bottom w:w="0" w:type="dxa"/>
            </w:tcMar>
            <w:vAlign w:val="center"/>
          </w:tcPr>
          <w:p>
            <w:pPr>
              <w:pStyle w:val="TableContents"/>
              <w:bidi w:val="0"/>
              <w:spacing w:before="0" w:after="283"/>
              <w:jc w:val="right"/>
              <w:rPr/>
            </w:pPr>
            <w:r>
              <w:rPr/>
              <w:t>110,378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449" w:name="xdx_989_eus-gaap--EffectiveIncomeTaxRate"/>
            <w:bookmarkEnd w:id="449"/>
          </w:p>
        </w:tc>
        <w:tc>
          <w:tcPr>
            <w:tcW w:w="560" w:type="dxa"/>
            <w:tcBorders/>
            <w:shd w:fill="CCEEFF" w:val="clear"/>
            <w:tcMar>
              <w:bottom w:w="0" w:type="dxa"/>
            </w:tcMar>
            <w:vAlign w:val="center"/>
          </w:tcPr>
          <w:p>
            <w:pPr>
              <w:pStyle w:val="TableContents"/>
              <w:bidi w:val="0"/>
              <w:spacing w:before="0" w:after="283"/>
              <w:jc w:val="right"/>
              <w:rPr/>
            </w:pPr>
            <w:r>
              <w:rPr/>
              <w:t>0.97</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450" w:name="xdx_987_eus-gaap--IncomeTaxReconciliatio"/>
            <w:bookmarkEnd w:id="450"/>
          </w:p>
        </w:tc>
        <w:tc>
          <w:tcPr>
            <w:tcW w:w="875" w:type="dxa"/>
            <w:tcBorders/>
            <w:shd w:fill="CCEEFF" w:val="clear"/>
            <w:tcMar>
              <w:bottom w:w="0" w:type="dxa"/>
            </w:tcMar>
            <w:vAlign w:val="center"/>
          </w:tcPr>
          <w:p>
            <w:pPr>
              <w:pStyle w:val="TableContents"/>
              <w:bidi w:val="0"/>
              <w:spacing w:before="0" w:after="283"/>
              <w:jc w:val="right"/>
              <w:rPr/>
            </w:pPr>
            <w:r>
              <w:rPr/>
              <w:t>23,179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550" w:type="dxa"/>
            <w:tcBorders/>
            <w:shd w:fill="FFFFFF" w:val="clear"/>
            <w:tcMar>
              <w:bottom w:w="0" w:type="dxa"/>
            </w:tcMar>
            <w:vAlign w:val="center"/>
          </w:tcPr>
          <w:p>
            <w:pPr>
              <w:pStyle w:val="TableContents"/>
              <w:bidi w:val="0"/>
              <w:spacing w:before="0" w:after="283"/>
              <w:jc w:val="left"/>
              <w:rPr/>
            </w:pPr>
            <w:r>
              <w:rPr/>
              <w:t>State income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451" w:name="xdx_985_ecustom--IncomeTaxReconciliation"/>
            <w:bookmarkEnd w:id="451"/>
          </w:p>
        </w:tc>
        <w:tc>
          <w:tcPr>
            <w:tcW w:w="980" w:type="dxa"/>
            <w:tcBorders/>
            <w:shd w:fill="FFFFFF" w:val="clear"/>
            <w:tcMar>
              <w:bottom w:w="0" w:type="dxa"/>
            </w:tcMar>
            <w:vAlign w:val="center"/>
          </w:tcPr>
          <w:p>
            <w:pPr>
              <w:pStyle w:val="TableContents"/>
              <w:bidi w:val="0"/>
              <w:spacing w:before="0" w:after="283"/>
              <w:jc w:val="right"/>
              <w:rPr/>
            </w:pPr>
            <w:r>
              <w:rPr/>
              <w:t>127,407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452" w:name="xdx_98C_eus-gaap--EffectiveIncomeTaxRate"/>
            <w:bookmarkEnd w:id="452"/>
          </w:p>
        </w:tc>
        <w:tc>
          <w:tcPr>
            <w:tcW w:w="560" w:type="dxa"/>
            <w:tcBorders/>
            <w:shd w:fill="FFFFFF" w:val="clear"/>
            <w:tcMar>
              <w:bottom w:w="0" w:type="dxa"/>
            </w:tcMar>
            <w:vAlign w:val="center"/>
          </w:tcPr>
          <w:p>
            <w:pPr>
              <w:pStyle w:val="TableContents"/>
              <w:bidi w:val="0"/>
              <w:spacing w:before="0" w:after="283"/>
              <w:jc w:val="right"/>
              <w:rPr/>
            </w:pPr>
            <w:r>
              <w:rPr/>
              <w:t>4.19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453" w:name="xdx_98F_eus-gaap--IncomeTaxReconciliatio"/>
            <w:bookmarkEnd w:id="453"/>
          </w:p>
        </w:tc>
        <w:tc>
          <w:tcPr>
            <w:tcW w:w="875" w:type="dxa"/>
            <w:tcBorders/>
            <w:shd w:fill="FFFFFF" w:val="clear"/>
            <w:tcMar>
              <w:bottom w:w="0" w:type="dxa"/>
            </w:tcMar>
            <w:vAlign w:val="center"/>
          </w:tcPr>
          <w:p>
            <w:pPr>
              <w:pStyle w:val="TableContents"/>
              <w:bidi w:val="0"/>
              <w:spacing w:before="0" w:after="283"/>
              <w:jc w:val="right"/>
              <w:rPr/>
            </w:pPr>
            <w:r>
              <w:rPr/>
              <w:t>100,171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550" w:type="dxa"/>
            <w:tcBorders/>
            <w:shd w:fill="CCEEFF" w:val="clear"/>
            <w:tcMar>
              <w:bottom w:w="0" w:type="dxa"/>
            </w:tcMar>
            <w:vAlign w:val="center"/>
          </w:tcPr>
          <w:p>
            <w:pPr>
              <w:pStyle w:val="TableContents"/>
              <w:bidi w:val="0"/>
              <w:spacing w:before="0" w:after="283"/>
              <w:jc w:val="left"/>
              <w:rPr/>
            </w:pPr>
            <w:r>
              <w:rPr/>
              <w:t>Other deferred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454" w:name="xdx_98F_ecustom--IncomeTaxReconciliation"/>
            <w:bookmarkEnd w:id="454"/>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bookmarkStart w:id="455" w:name="xdx_984_eus-gaap--EffectiveIncomeTaxRate"/>
            <w:bookmarkEnd w:id="455"/>
          </w:p>
        </w:tc>
        <w:tc>
          <w:tcPr>
            <w:tcW w:w="560" w:type="dxa"/>
            <w:tcBorders>
              <w:bottom w:val="single" w:sz="8" w:space="0" w:color="000000"/>
            </w:tcBorders>
            <w:shd w:fill="CCEEFF" w:val="clear"/>
            <w:vAlign w:val="center"/>
          </w:tcPr>
          <w:p>
            <w:pPr>
              <w:pStyle w:val="TableContents"/>
              <w:bidi w:val="0"/>
              <w:spacing w:before="0" w:after="283"/>
              <w:jc w:val="right"/>
              <w:rPr/>
            </w:pPr>
            <w:r>
              <w:rPr/>
              <w:t>-4.98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bookmarkStart w:id="456" w:name="xdx_988_eus-gaap--IncomeTaxReconciliatio"/>
            <w:bookmarkEnd w:id="456"/>
          </w:p>
        </w:tc>
        <w:tc>
          <w:tcPr>
            <w:tcW w:w="875" w:type="dxa"/>
            <w:tcBorders>
              <w:bottom w:val="single" w:sz="8" w:space="0" w:color="000000"/>
            </w:tcBorders>
            <w:shd w:fill="CCEEFF" w:val="clear"/>
            <w:vAlign w:val="center"/>
          </w:tcPr>
          <w:p>
            <w:pPr>
              <w:pStyle w:val="TableContents"/>
              <w:bidi w:val="0"/>
              <w:spacing w:before="0" w:after="283"/>
              <w:jc w:val="right"/>
              <w:rPr/>
            </w:pPr>
            <w:r>
              <w:rPr/>
              <w:t>(118,982</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550" w:type="dxa"/>
            <w:tcBorders/>
            <w:shd w:fill="FFFFFF" w:val="clear"/>
            <w:tcMar>
              <w:bottom w:w="0" w:type="dxa"/>
            </w:tcMar>
            <w:vAlign w:val="center"/>
          </w:tcPr>
          <w:p>
            <w:pPr>
              <w:pStyle w:val="TableContents"/>
              <w:bidi w:val="0"/>
              <w:spacing w:before="0" w:after="283"/>
              <w:jc w:val="left"/>
              <w:rPr/>
            </w:pPr>
            <w:r>
              <w:rPr/>
              <w:t>Total tax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457" w:name="xdx_986_eus-gaap--EffectiveIncomeTaxRate"/>
            <w:bookmarkEnd w:id="457"/>
          </w:p>
        </w:tc>
        <w:tc>
          <w:tcPr>
            <w:tcW w:w="560" w:type="dxa"/>
            <w:tcBorders/>
            <w:shd w:fill="FFFFFF" w:val="clear"/>
            <w:tcMar>
              <w:bottom w:w="0" w:type="dxa"/>
            </w:tcMar>
            <w:vAlign w:val="center"/>
          </w:tcPr>
          <w:p>
            <w:pPr>
              <w:pStyle w:val="TableContents"/>
              <w:bidi w:val="0"/>
              <w:spacing w:before="0" w:after="283"/>
              <w:jc w:val="right"/>
              <w:rPr/>
            </w:pPr>
            <w:r>
              <w:rPr/>
              <w:t>21.57</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bookmarkStart w:id="458" w:name="xdx_98E_eus-gaap--IncomeTaxExpenseBenefi"/>
            <w:bookmarkEnd w:id="458"/>
          </w:p>
        </w:tc>
        <w:tc>
          <w:tcPr>
            <w:tcW w:w="875" w:type="dxa"/>
            <w:tcBorders/>
            <w:shd w:fill="FFFFFF" w:val="clear"/>
            <w:tcMar>
              <w:bottom w:w="0" w:type="dxa"/>
            </w:tcMar>
            <w:vAlign w:val="center"/>
          </w:tcPr>
          <w:p>
            <w:pPr>
              <w:pStyle w:val="TableContents"/>
              <w:bidi w:val="0"/>
              <w:spacing w:before="0" w:after="283"/>
              <w:jc w:val="right"/>
              <w:rPr/>
            </w:pPr>
            <w:r>
              <w:rPr/>
              <w:t>515,649</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jc w:val="center"/>
        <w:rPr>
          <w:caps w:val="false"/>
          <w:smallCaps w:val="false"/>
        </w:rPr>
      </w:pPr>
      <w:r>
        <w:rPr>
          <w:caps w:val="false"/>
          <w:smallCaps w:val="false"/>
        </w:rPr>
        <w:t> </w:t>
      </w:r>
    </w:p>
    <w:tbl>
      <w:tblPr>
        <w:tblW w:w="7760" w:type="dxa"/>
        <w:jc w:val="left"/>
        <w:tblInd w:w="0" w:type="dxa"/>
        <w:tblLayout w:type="fixed"/>
        <w:tblCellMar>
          <w:top w:w="0" w:type="dxa"/>
          <w:left w:w="0" w:type="dxa"/>
          <w:bottom w:w="28" w:type="dxa"/>
          <w:right w:w="0" w:type="dxa"/>
        </w:tblCellMar>
      </w:tblPr>
      <w:tblGrid>
        <w:gridCol w:w="4550"/>
        <w:gridCol w:w="60"/>
        <w:gridCol w:w="140"/>
        <w:gridCol w:w="980"/>
        <w:gridCol w:w="60"/>
        <w:gridCol w:w="60"/>
        <w:gridCol w:w="60"/>
        <w:gridCol w:w="560"/>
        <w:gridCol w:w="215"/>
        <w:gridCol w:w="60"/>
        <w:gridCol w:w="140"/>
        <w:gridCol w:w="800"/>
        <w:gridCol w:w="75"/>
      </w:tblGrid>
      <w:tr>
        <w:trPr/>
        <w:tc>
          <w:tcPr>
            <w:tcW w:w="7760" w:type="dxa"/>
            <w:gridSpan w:val="13"/>
            <w:tcBorders>
              <w:bottom w:val="single" w:sz="8" w:space="0" w:color="000000"/>
            </w:tcBorders>
            <w:vAlign w:val="center"/>
          </w:tcPr>
          <w:p>
            <w:pPr>
              <w:pStyle w:val="TableContents"/>
              <w:bidi w:val="0"/>
              <w:spacing w:before="0" w:after="283"/>
              <w:jc w:val="center"/>
              <w:rPr>
                <w:b/>
              </w:rPr>
            </w:pPr>
            <w:r>
              <w:rPr>
                <w:b/>
              </w:rPr>
              <w:t>Effective Tax Rate Reconciliation for the Six Months Ended June 30, 2025</w:t>
            </w:r>
          </w:p>
        </w:tc>
      </w:tr>
      <w:tr>
        <w:trPr/>
        <w:tc>
          <w:tcPr>
            <w:tcW w:w="4550" w:type="dxa"/>
            <w:tcBorders/>
            <w:shd w:fill="CCEEFF" w:val="clear"/>
            <w:tcMar>
              <w:bottom w:w="0" w:type="dxa"/>
            </w:tcMar>
            <w:vAlign w:val="center"/>
          </w:tcPr>
          <w:p>
            <w:pPr>
              <w:pStyle w:val="TableContents"/>
              <w:bidi w:val="0"/>
              <w:spacing w:before="0" w:after="283"/>
              <w:jc w:val="left"/>
              <w:rPr/>
            </w:pPr>
            <w:r>
              <w:rPr/>
              <w:t>Pre-tax book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459" w:name="xdx_985_eus-gaap--IncomeLossFromContinui"/>
            <w:bookmarkEnd w:id="459"/>
          </w:p>
        </w:tc>
        <w:tc>
          <w:tcPr>
            <w:tcW w:w="980" w:type="dxa"/>
            <w:tcBorders/>
            <w:shd w:fill="CCEEFF" w:val="clear"/>
            <w:tcMar>
              <w:bottom w:w="0" w:type="dxa"/>
            </w:tcMar>
            <w:vAlign w:val="center"/>
          </w:tcPr>
          <w:p>
            <w:pPr>
              <w:pStyle w:val="TableContents"/>
              <w:bidi w:val="0"/>
              <w:spacing w:before="0" w:after="283"/>
              <w:jc w:val="right"/>
              <w:rPr/>
            </w:pPr>
            <w:r>
              <w:rPr/>
              <w:t>2,518,617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460" w:name="xdx_98C_eus-gaap--EffectiveIncomeTaxRate"/>
            <w:bookmarkEnd w:id="460"/>
          </w:p>
        </w:tc>
        <w:tc>
          <w:tcPr>
            <w:tcW w:w="560" w:type="dxa"/>
            <w:tcBorders/>
            <w:shd w:fill="CCEEFF" w:val="clear"/>
            <w:tcMar>
              <w:bottom w:w="0" w:type="dxa"/>
            </w:tcMar>
            <w:vAlign w:val="center"/>
          </w:tcPr>
          <w:p>
            <w:pPr>
              <w:pStyle w:val="TableContents"/>
              <w:bidi w:val="0"/>
              <w:spacing w:before="0" w:after="283"/>
              <w:jc w:val="right"/>
              <w:rPr/>
            </w:pPr>
            <w:r>
              <w:rPr/>
              <w:t>21.00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461" w:name="xdx_985_eus-gaap--IncomeTaxReconciliatio"/>
            <w:bookmarkEnd w:id="461"/>
          </w:p>
        </w:tc>
        <w:tc>
          <w:tcPr>
            <w:tcW w:w="800" w:type="dxa"/>
            <w:tcBorders/>
            <w:shd w:fill="CCEEFF" w:val="clear"/>
            <w:tcMar>
              <w:bottom w:w="0" w:type="dxa"/>
            </w:tcMar>
            <w:vAlign w:val="center"/>
          </w:tcPr>
          <w:p>
            <w:pPr>
              <w:pStyle w:val="TableContents"/>
              <w:bidi w:val="0"/>
              <w:spacing w:before="0" w:after="283"/>
              <w:jc w:val="right"/>
              <w:rPr/>
            </w:pPr>
            <w:r>
              <w:rPr/>
              <w:t>528,910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50" w:type="dxa"/>
            <w:tcBorders/>
            <w:shd w:fill="FFFFFF" w:val="clear"/>
            <w:tcMar>
              <w:bottom w:w="0" w:type="dxa"/>
            </w:tcMar>
            <w:vAlign w:val="center"/>
          </w:tcPr>
          <w:p>
            <w:pPr>
              <w:pStyle w:val="TableContents"/>
              <w:bidi w:val="0"/>
              <w:spacing w:before="0" w:after="283"/>
              <w:jc w:val="left"/>
              <w:rPr/>
            </w:pPr>
            <w:r>
              <w:rPr/>
              <w:t>Permanent differences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462" w:name="xdx_980_ecustom--IncomeTaxReconciliation"/>
            <w:bookmarkEnd w:id="462"/>
          </w:p>
        </w:tc>
        <w:tc>
          <w:tcPr>
            <w:tcW w:w="980" w:type="dxa"/>
            <w:tcBorders/>
            <w:shd w:fill="FFFFFF" w:val="clear"/>
            <w:tcMar>
              <w:bottom w:w="0" w:type="dxa"/>
            </w:tcMar>
            <w:vAlign w:val="center"/>
          </w:tcPr>
          <w:p>
            <w:pPr>
              <w:pStyle w:val="TableContents"/>
              <w:bidi w:val="0"/>
              <w:spacing w:before="0" w:after="283"/>
              <w:jc w:val="right"/>
              <w:rPr/>
            </w:pPr>
            <w:r>
              <w:rPr/>
              <w:t>38,692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463" w:name="xdx_98E_eus-gaap--EffectiveIncomeTaxRate"/>
            <w:bookmarkEnd w:id="463"/>
          </w:p>
        </w:tc>
        <w:tc>
          <w:tcPr>
            <w:tcW w:w="560" w:type="dxa"/>
            <w:tcBorders/>
            <w:shd w:fill="FFFFFF" w:val="clear"/>
            <w:tcMar>
              <w:bottom w:w="0" w:type="dxa"/>
            </w:tcMar>
            <w:vAlign w:val="center"/>
          </w:tcPr>
          <w:p>
            <w:pPr>
              <w:pStyle w:val="TableContents"/>
              <w:bidi w:val="0"/>
              <w:spacing w:before="0" w:after="283"/>
              <w:jc w:val="right"/>
              <w:rPr/>
            </w:pPr>
            <w:r>
              <w:rPr/>
              <w:t>0.32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464" w:name="xdx_98A_eus-gaap--IncomeTaxReconciliatio"/>
            <w:bookmarkEnd w:id="464"/>
          </w:p>
        </w:tc>
        <w:tc>
          <w:tcPr>
            <w:tcW w:w="800" w:type="dxa"/>
            <w:tcBorders/>
            <w:shd w:fill="FFFFFF" w:val="clear"/>
            <w:tcMar>
              <w:bottom w:w="0" w:type="dxa"/>
            </w:tcMar>
            <w:vAlign w:val="center"/>
          </w:tcPr>
          <w:p>
            <w:pPr>
              <w:pStyle w:val="TableContents"/>
              <w:bidi w:val="0"/>
              <w:spacing w:before="0" w:after="283"/>
              <w:jc w:val="right"/>
              <w:rPr/>
            </w:pPr>
            <w:r>
              <w:rPr/>
              <w:t>8,125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550" w:type="dxa"/>
            <w:tcBorders/>
            <w:shd w:fill="CCEEFF" w:val="clear"/>
            <w:tcMar>
              <w:bottom w:w="0" w:type="dxa"/>
            </w:tcMar>
            <w:vAlign w:val="center"/>
          </w:tcPr>
          <w:p>
            <w:pPr>
              <w:pStyle w:val="TableContents"/>
              <w:bidi w:val="0"/>
              <w:spacing w:before="0" w:after="283"/>
              <w:jc w:val="left"/>
              <w:rPr/>
            </w:pPr>
            <w:r>
              <w:rPr/>
              <w:t>Prior year federal permanent differences true-up</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465" w:name="xdx_988_ecustom--IncomeTaxReconciliation"/>
            <w:bookmarkEnd w:id="465"/>
          </w:p>
        </w:tc>
        <w:tc>
          <w:tcPr>
            <w:tcW w:w="980" w:type="dxa"/>
            <w:tcBorders/>
            <w:shd w:fill="CCEEFF" w:val="clear"/>
            <w:tcMar>
              <w:bottom w:w="0" w:type="dxa"/>
            </w:tcMar>
            <w:vAlign w:val="center"/>
          </w:tcPr>
          <w:p>
            <w:pPr>
              <w:pStyle w:val="TableContents"/>
              <w:bidi w:val="0"/>
              <w:spacing w:before="0" w:after="283"/>
              <w:jc w:val="right"/>
              <w:rPr/>
            </w:pPr>
            <w:r>
              <w:rPr/>
              <w:t>117,653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466" w:name="xdx_988_eus-gaap--EffectiveIncomeTaxRate"/>
            <w:bookmarkEnd w:id="466"/>
          </w:p>
        </w:tc>
        <w:tc>
          <w:tcPr>
            <w:tcW w:w="560" w:type="dxa"/>
            <w:tcBorders/>
            <w:shd w:fill="CCEEFF" w:val="clear"/>
            <w:tcMar>
              <w:bottom w:w="0" w:type="dxa"/>
            </w:tcMar>
            <w:vAlign w:val="center"/>
          </w:tcPr>
          <w:p>
            <w:pPr>
              <w:pStyle w:val="TableContents"/>
              <w:bidi w:val="0"/>
              <w:spacing w:before="0" w:after="283"/>
              <w:jc w:val="right"/>
              <w:rPr/>
            </w:pPr>
            <w:r>
              <w:rPr/>
              <w:t>0.98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467" w:name="xdx_980_eus-gaap--IncomeTaxReconciliatio"/>
            <w:bookmarkEnd w:id="467"/>
          </w:p>
        </w:tc>
        <w:tc>
          <w:tcPr>
            <w:tcW w:w="800" w:type="dxa"/>
            <w:tcBorders/>
            <w:shd w:fill="CCEEFF" w:val="clear"/>
            <w:tcMar>
              <w:bottom w:w="0" w:type="dxa"/>
            </w:tcMar>
            <w:vAlign w:val="center"/>
          </w:tcPr>
          <w:p>
            <w:pPr>
              <w:pStyle w:val="TableContents"/>
              <w:bidi w:val="0"/>
              <w:spacing w:before="0" w:after="283"/>
              <w:jc w:val="right"/>
              <w:rPr/>
            </w:pPr>
            <w:r>
              <w:rPr/>
              <w:t>24,707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50" w:type="dxa"/>
            <w:tcBorders/>
            <w:shd w:fill="FFFFFF" w:val="clear"/>
            <w:tcMar>
              <w:bottom w:w="0" w:type="dxa"/>
            </w:tcMar>
            <w:vAlign w:val="center"/>
          </w:tcPr>
          <w:p>
            <w:pPr>
              <w:pStyle w:val="TableContents"/>
              <w:bidi w:val="0"/>
              <w:spacing w:before="0" w:after="283"/>
              <w:jc w:val="left"/>
              <w:rPr/>
            </w:pPr>
            <w:r>
              <w:rPr/>
              <w:t>State income tax</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468" w:name="xdx_98F_ecustom--IncomeTaxReconciliation"/>
            <w:bookmarkEnd w:id="468"/>
          </w:p>
        </w:tc>
        <w:tc>
          <w:tcPr>
            <w:tcW w:w="980" w:type="dxa"/>
            <w:tcBorders/>
            <w:shd w:fill="FFFFFF" w:val="clear"/>
            <w:tcMar>
              <w:bottom w:w="0" w:type="dxa"/>
            </w:tcMar>
            <w:vAlign w:val="center"/>
          </w:tcPr>
          <w:p>
            <w:pPr>
              <w:pStyle w:val="TableContents"/>
              <w:bidi w:val="0"/>
              <w:spacing w:before="0" w:after="283"/>
              <w:jc w:val="right"/>
              <w:rPr/>
            </w:pPr>
            <w:r>
              <w:rPr/>
              <w:t>114,662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469" w:name="xdx_987_eus-gaap--EffectiveIncomeTaxRate"/>
            <w:bookmarkEnd w:id="469"/>
          </w:p>
        </w:tc>
        <w:tc>
          <w:tcPr>
            <w:tcW w:w="560" w:type="dxa"/>
            <w:tcBorders/>
            <w:shd w:fill="FFFFFF" w:val="clear"/>
            <w:tcMar>
              <w:bottom w:w="0" w:type="dxa"/>
            </w:tcMar>
            <w:vAlign w:val="center"/>
          </w:tcPr>
          <w:p>
            <w:pPr>
              <w:pStyle w:val="TableContents"/>
              <w:bidi w:val="0"/>
              <w:spacing w:before="0" w:after="283"/>
              <w:jc w:val="right"/>
              <w:rPr/>
            </w:pPr>
            <w:r>
              <w:rPr/>
              <w:t>4.37</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bookmarkStart w:id="470" w:name="xdx_989_eus-gaap--IncomeTaxReconciliatio"/>
            <w:bookmarkEnd w:id="470"/>
          </w:p>
        </w:tc>
        <w:tc>
          <w:tcPr>
            <w:tcW w:w="800" w:type="dxa"/>
            <w:tcBorders/>
            <w:shd w:fill="FFFFFF" w:val="clear"/>
            <w:tcMar>
              <w:bottom w:w="0" w:type="dxa"/>
            </w:tcMar>
            <w:vAlign w:val="center"/>
          </w:tcPr>
          <w:p>
            <w:pPr>
              <w:pStyle w:val="TableContents"/>
              <w:bidi w:val="0"/>
              <w:spacing w:before="0" w:after="283"/>
              <w:jc w:val="right"/>
              <w:rPr/>
            </w:pPr>
            <w:r>
              <w:rPr/>
              <w:t>110,143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550" w:type="dxa"/>
            <w:tcBorders/>
            <w:shd w:fill="CCEEFF" w:val="clear"/>
            <w:tcMar>
              <w:bottom w:w="0" w:type="dxa"/>
            </w:tcMar>
            <w:vAlign w:val="center"/>
          </w:tcPr>
          <w:p>
            <w:pPr>
              <w:pStyle w:val="TableContents"/>
              <w:bidi w:val="0"/>
              <w:spacing w:before="0" w:after="283"/>
              <w:jc w:val="left"/>
              <w:rPr/>
            </w:pPr>
            <w:r>
              <w:rPr/>
              <w:t>Other deferred adjustment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bookmarkStart w:id="471" w:name="xdx_980_ecustom--IncomeTaxReconciliation"/>
            <w:bookmarkEnd w:id="471"/>
          </w:p>
        </w:tc>
        <w:tc>
          <w:tcPr>
            <w:tcW w:w="9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bookmarkStart w:id="472" w:name="xdx_98A_eus-gaap--EffectiveIncomeTaxRate"/>
            <w:bookmarkEnd w:id="472"/>
          </w:p>
        </w:tc>
        <w:tc>
          <w:tcPr>
            <w:tcW w:w="560" w:type="dxa"/>
            <w:tcBorders>
              <w:bottom w:val="single" w:sz="8" w:space="0" w:color="000000"/>
            </w:tcBorders>
            <w:shd w:fill="CCEEFF" w:val="clear"/>
            <w:vAlign w:val="center"/>
          </w:tcPr>
          <w:p>
            <w:pPr>
              <w:pStyle w:val="TableContents"/>
              <w:bidi w:val="0"/>
              <w:spacing w:before="0" w:after="283"/>
              <w:jc w:val="right"/>
              <w:rPr/>
            </w:pPr>
            <w:r>
              <w:rPr/>
              <w:t>0.60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bookmarkStart w:id="473" w:name="xdx_98E_eus-gaap--IncomeTaxReconciliatio"/>
            <w:bookmarkEnd w:id="473"/>
          </w:p>
        </w:tc>
        <w:tc>
          <w:tcPr>
            <w:tcW w:w="800" w:type="dxa"/>
            <w:tcBorders>
              <w:bottom w:val="single" w:sz="8" w:space="0" w:color="000000"/>
            </w:tcBorders>
            <w:shd w:fill="CCEEFF" w:val="clear"/>
            <w:vAlign w:val="center"/>
          </w:tcPr>
          <w:p>
            <w:pPr>
              <w:pStyle w:val="TableContents"/>
              <w:bidi w:val="0"/>
              <w:spacing w:before="0" w:after="283"/>
              <w:jc w:val="right"/>
              <w:rPr/>
            </w:pPr>
            <w:r>
              <w:rPr/>
              <w:t>15,214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550" w:type="dxa"/>
            <w:tcBorders/>
            <w:shd w:fill="FFFFFF" w:val="clear"/>
            <w:tcMar>
              <w:bottom w:w="0" w:type="dxa"/>
            </w:tcMar>
            <w:vAlign w:val="center"/>
          </w:tcPr>
          <w:p>
            <w:pPr>
              <w:pStyle w:val="TableContents"/>
              <w:bidi w:val="0"/>
              <w:spacing w:before="0" w:after="283"/>
              <w:jc w:val="left"/>
              <w:rPr/>
            </w:pPr>
            <w:r>
              <w:rPr/>
              <w:t>Total tax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474" w:name="xdx_98E_eus-gaap--EffectiveIncomeTaxRate"/>
            <w:bookmarkEnd w:id="474"/>
          </w:p>
        </w:tc>
        <w:tc>
          <w:tcPr>
            <w:tcW w:w="560" w:type="dxa"/>
            <w:tcBorders/>
            <w:shd w:fill="FFFFFF" w:val="clear"/>
            <w:tcMar>
              <w:bottom w:w="0" w:type="dxa"/>
            </w:tcMar>
            <w:vAlign w:val="center"/>
          </w:tcPr>
          <w:p>
            <w:pPr>
              <w:pStyle w:val="TableContents"/>
              <w:bidi w:val="0"/>
              <w:spacing w:before="0" w:after="283"/>
              <w:jc w:val="right"/>
              <w:rPr/>
            </w:pPr>
            <w:r>
              <w:rPr/>
              <w:t>27.28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bookmarkStart w:id="475" w:name="xdx_981_eus-gaap--IncomeTaxExpenseBenefi"/>
            <w:bookmarkEnd w:id="475"/>
          </w:p>
        </w:tc>
        <w:tc>
          <w:tcPr>
            <w:tcW w:w="800" w:type="dxa"/>
            <w:tcBorders/>
            <w:shd w:fill="FFFFFF" w:val="clear"/>
            <w:tcMar>
              <w:bottom w:w="0" w:type="dxa"/>
            </w:tcMar>
            <w:vAlign w:val="center"/>
          </w:tcPr>
          <w:p>
            <w:pPr>
              <w:pStyle w:val="TableContents"/>
              <w:bidi w:val="0"/>
              <w:spacing w:before="0" w:after="283"/>
              <w:jc w:val="right"/>
              <w:rPr/>
            </w:pPr>
            <w:r>
              <w:rPr/>
              <w:t>687,099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76" w:name="xdx_8A0_zT3EVa5HkUC7"/>
      <w:bookmarkEnd w:id="47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77" w:name="xdx_8B7_zpQkYu9JM2I5"/>
      <w:bookmarkStart w:id="478" w:name="xdx_89F_eus-gaap--ScheduleOfComponentsOf"/>
      <w:bookmarkEnd w:id="477"/>
      <w:bookmarkEnd w:id="478"/>
      <w:r>
        <w:rPr>
          <w:rFonts w:ascii="Times New Roman;Times;Serif" w:hAnsi="Times New Roman;Times;Serif"/>
          <w:b w:val="false"/>
          <w:i w:val="false"/>
          <w:caps w:val="false"/>
          <w:smallCaps w:val="false"/>
          <w:sz w:val="20"/>
        </w:rPr>
        <w:t>Schedule of Tax Expense Summary </w:t>
      </w:r>
    </w:p>
    <w:tbl>
      <w:tblPr>
        <w:tblW w:w="10205" w:type="dxa"/>
        <w:jc w:val="left"/>
        <w:tblInd w:w="0" w:type="dxa"/>
        <w:tblLayout w:type="fixed"/>
        <w:tblCellMar>
          <w:top w:w="0" w:type="dxa"/>
          <w:left w:w="0" w:type="dxa"/>
          <w:bottom w:w="0" w:type="dxa"/>
          <w:right w:w="0" w:type="dxa"/>
        </w:tblCellMar>
      </w:tblPr>
      <w:tblGrid>
        <w:gridCol w:w="6170"/>
        <w:gridCol w:w="60"/>
        <w:gridCol w:w="179"/>
        <w:gridCol w:w="1030"/>
        <w:gridCol w:w="60"/>
        <w:gridCol w:w="60"/>
        <w:gridCol w:w="83"/>
        <w:gridCol w:w="1126"/>
        <w:gridCol w:w="95"/>
        <w:gridCol w:w="60"/>
        <w:gridCol w:w="85"/>
        <w:gridCol w:w="1119"/>
        <w:gridCol w:w="78"/>
      </w:tblGrid>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9" w:type="dxa"/>
            <w:gridSpan w:val="2"/>
            <w:tcBorders/>
            <w:vAlign w:val="center"/>
          </w:tcPr>
          <w:p>
            <w:pPr>
              <w:pStyle w:val="TableContents"/>
              <w:bidi w:val="0"/>
              <w:spacing w:before="0" w:after="283"/>
              <w:jc w:val="center"/>
              <w:rPr>
                <w:b/>
              </w:rPr>
            </w:pPr>
            <w:r>
              <w:rPr>
                <w:b/>
              </w:rPr>
              <w:t>Current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9" w:type="dxa"/>
            <w:gridSpan w:val="2"/>
            <w:tcBorders/>
            <w:vAlign w:val="center"/>
          </w:tcPr>
          <w:p>
            <w:pPr>
              <w:pStyle w:val="TableContents"/>
              <w:bidi w:val="0"/>
              <w:spacing w:before="0" w:after="283"/>
              <w:jc w:val="center"/>
              <w:rPr>
                <w:b/>
              </w:rPr>
            </w:pPr>
            <w:r>
              <w:rPr>
                <w:b/>
              </w:rPr>
              <w:t>Deferred</w:t>
              <w:br/>
              <w:t>Income Tax</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Total</w:t>
            </w:r>
          </w:p>
        </w:tc>
        <w:tc>
          <w:tcPr>
            <w:tcW w:w="78" w:type="dxa"/>
            <w:tcBorders/>
            <w:vAlign w:val="center"/>
          </w:tcPr>
          <w:p>
            <w:pPr>
              <w:pStyle w:val="TableContents"/>
              <w:bidi w:val="0"/>
              <w:spacing w:before="0" w:after="283"/>
              <w:jc w:val="left"/>
              <w:rPr/>
            </w:pPr>
            <w:r>
              <w:rPr/>
              <w:t> </w:t>
            </w:r>
          </w:p>
        </w:tc>
      </w:tr>
      <w:tr>
        <w:trPr/>
        <w:tc>
          <w:tcPr>
            <w:tcW w:w="6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9" w:type="dxa"/>
            <w:gridSpan w:val="2"/>
            <w:tcBorders/>
            <w:vAlign w:val="center"/>
          </w:tcPr>
          <w:p>
            <w:pPr>
              <w:pStyle w:val="TableContents"/>
              <w:bidi w:val="0"/>
              <w:spacing w:before="0" w:after="283"/>
              <w:jc w:val="center"/>
              <w:rPr>
                <w:b/>
              </w:rPr>
            </w:pPr>
            <w:r>
              <w:rPr>
                <w:b/>
              </w:rPr>
              <w:t>Income Tax</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9" w:type="dxa"/>
            <w:gridSpan w:val="2"/>
            <w:tcBorders/>
            <w:vAlign w:val="center"/>
          </w:tcPr>
          <w:p>
            <w:pPr>
              <w:pStyle w:val="TableContents"/>
              <w:bidi w:val="0"/>
              <w:spacing w:before="0" w:after="283"/>
              <w:jc w:val="center"/>
              <w:rPr>
                <w:b/>
              </w:rPr>
            </w:pPr>
            <w:r>
              <w:rPr>
                <w:b/>
              </w:rPr>
              <w:t>Expense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Income Tax</w:t>
            </w:r>
          </w:p>
        </w:tc>
        <w:tc>
          <w:tcPr>
            <w:tcW w:w="78" w:type="dxa"/>
            <w:tcBorders/>
            <w:vAlign w:val="center"/>
          </w:tcPr>
          <w:p>
            <w:pPr>
              <w:pStyle w:val="TableContents"/>
              <w:bidi w:val="0"/>
              <w:spacing w:before="0" w:after="283"/>
              <w:jc w:val="left"/>
              <w:rPr/>
            </w:pPr>
            <w:r>
              <w:rPr/>
              <w:t> </w:t>
            </w:r>
          </w:p>
        </w:tc>
      </w:tr>
      <w:tr>
        <w:trPr/>
        <w:tc>
          <w:tcPr>
            <w:tcW w:w="6170" w:type="dxa"/>
            <w:tcBorders>
              <w:bottom w:val="single" w:sz="8" w:space="0" w:color="000000"/>
            </w:tcBorders>
            <w:tcMar>
              <w:bottom w:w="28" w:type="dxa"/>
            </w:tcMar>
            <w:vAlign w:val="center"/>
          </w:tcPr>
          <w:p>
            <w:pPr>
              <w:pStyle w:val="TableContents"/>
              <w:bidi w:val="0"/>
              <w:spacing w:before="0" w:after="283"/>
              <w:jc w:val="left"/>
              <w:rPr>
                <w:b/>
              </w:rPr>
            </w:pPr>
            <w:r>
              <w:rPr>
                <w:b/>
              </w:rPr>
              <w:t>Tax Expense Summary, for the Six Months Ended June 30, 2026</w:t>
            </w:r>
          </w:p>
        </w:tc>
        <w:tc>
          <w:tcPr>
            <w:tcW w:w="60" w:type="dxa"/>
            <w:tcBorders/>
            <w:vAlign w:val="center"/>
          </w:tcPr>
          <w:p>
            <w:pPr>
              <w:pStyle w:val="TableContents"/>
              <w:bidi w:val="0"/>
              <w:spacing w:before="0" w:after="283"/>
              <w:jc w:val="left"/>
              <w:rPr/>
            </w:pPr>
            <w:r>
              <w:rPr/>
              <w:t> </w:t>
            </w:r>
          </w:p>
        </w:tc>
        <w:tc>
          <w:tcPr>
            <w:tcW w:w="12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Expense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(Benefit)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Expense</w:t>
            </w:r>
          </w:p>
        </w:tc>
        <w:tc>
          <w:tcPr>
            <w:tcW w:w="78" w:type="dxa"/>
            <w:tcBorders/>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283"/>
              <w:jc w:val="left"/>
              <w:rPr/>
            </w:pPr>
            <w:r>
              <w:rPr/>
              <w:t>Federal</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jc w:val="left"/>
              <w:rPr/>
            </w:pPr>
            <w:r>
              <w:rPr/>
              <w:t>$</w:t>
            </w:r>
            <w:bookmarkStart w:id="479" w:name="xdx_986_eus-gaap--CurrentFederalTaxExpen"/>
            <w:bookmarkEnd w:id="479"/>
          </w:p>
        </w:tc>
        <w:tc>
          <w:tcPr>
            <w:tcW w:w="1030" w:type="dxa"/>
            <w:tcBorders/>
            <w:shd w:fill="CCEEFF" w:val="clear"/>
            <w:vAlign w:val="center"/>
          </w:tcPr>
          <w:p>
            <w:pPr>
              <w:pStyle w:val="TableContents"/>
              <w:bidi w:val="0"/>
              <w:spacing w:before="0" w:after="283"/>
              <w:jc w:val="right"/>
              <w:rPr/>
            </w:pPr>
            <w:r>
              <w:rPr/>
              <w:t>88,964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bookmarkStart w:id="480" w:name="xdx_986_eus-gaap--DeferredFederalIncomeT"/>
            <w:bookmarkEnd w:id="480"/>
          </w:p>
        </w:tc>
        <w:tc>
          <w:tcPr>
            <w:tcW w:w="1126" w:type="dxa"/>
            <w:tcBorders/>
            <w:shd w:fill="CCEEFF" w:val="clear"/>
            <w:vAlign w:val="center"/>
          </w:tcPr>
          <w:p>
            <w:pPr>
              <w:pStyle w:val="TableContents"/>
              <w:bidi w:val="0"/>
              <w:spacing w:before="0" w:after="283"/>
              <w:jc w:val="right"/>
              <w:rPr/>
            </w:pPr>
            <w:r>
              <w:rPr/>
              <w:t>299,758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bookmarkStart w:id="481" w:name="xdx_982_eus-gaap--FederalIncomeTaxExpens"/>
            <w:bookmarkEnd w:id="481"/>
          </w:p>
        </w:tc>
        <w:tc>
          <w:tcPr>
            <w:tcW w:w="1119" w:type="dxa"/>
            <w:tcBorders/>
            <w:shd w:fill="CCEEFF" w:val="clear"/>
            <w:vAlign w:val="center"/>
          </w:tcPr>
          <w:p>
            <w:pPr>
              <w:pStyle w:val="TableContents"/>
              <w:bidi w:val="0"/>
              <w:spacing w:before="0" w:after="283"/>
              <w:jc w:val="right"/>
              <w:rPr/>
            </w:pPr>
            <w:r>
              <w:rPr/>
              <w:t>388,722</w:t>
            </w:r>
          </w:p>
        </w:tc>
        <w:tc>
          <w:tcPr>
            <w:tcW w:w="78" w:type="dxa"/>
            <w:tcBorders/>
            <w:shd w:fill="CCEEFF" w:val="clear"/>
            <w:vAlign w:val="center"/>
          </w:tcPr>
          <w:p>
            <w:pPr>
              <w:pStyle w:val="TableContents"/>
              <w:bidi w:val="0"/>
              <w:spacing w:before="0" w:after="283"/>
              <w:jc w:val="left"/>
              <w:rPr/>
            </w:pPr>
            <w:r>
              <w:rPr/>
              <w:t> </w:t>
            </w:r>
          </w:p>
        </w:tc>
      </w:tr>
      <w:tr>
        <w:trPr/>
        <w:tc>
          <w:tcPr>
            <w:tcW w:w="6170" w:type="dxa"/>
            <w:tcBorders/>
            <w:shd w:fill="FFFFFF" w:val="clear"/>
            <w:vAlign w:val="center"/>
          </w:tcPr>
          <w:p>
            <w:pPr>
              <w:pStyle w:val="TableContents"/>
              <w:bidi w:val="0"/>
              <w:spacing w:before="0" w:after="283"/>
              <w:jc w:val="left"/>
              <w:rPr/>
            </w:pPr>
            <w:r>
              <w:rPr/>
              <w:t>State</w:t>
            </w:r>
          </w:p>
        </w:tc>
        <w:tc>
          <w:tcPr>
            <w:tcW w:w="60" w:type="dxa"/>
            <w:tcBorders/>
            <w:shd w:fill="FFFFFF" w:val="clear"/>
            <w:vAlign w:val="center"/>
          </w:tcPr>
          <w:p>
            <w:pPr>
              <w:pStyle w:val="TableContents"/>
              <w:bidi w:val="0"/>
              <w:spacing w:before="0" w:after="283"/>
              <w:jc w:val="left"/>
              <w:rPr/>
            </w:pPr>
            <w:r>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2" w:name="xdx_984_eus-gaap--CurrentStateAndLocalTa"/>
            <w:bookmarkEnd w:id="482"/>
          </w:p>
        </w:tc>
        <w:tc>
          <w:tcPr>
            <w:tcW w:w="1030" w:type="dxa"/>
            <w:tcBorders>
              <w:bottom w:val="single" w:sz="8" w:space="0" w:color="000000"/>
            </w:tcBorders>
            <w:shd w:fill="FFFFFF" w:val="clear"/>
            <w:tcMar>
              <w:bottom w:w="28" w:type="dxa"/>
            </w:tcMar>
            <w:vAlign w:val="center"/>
          </w:tcPr>
          <w:p>
            <w:pPr>
              <w:pStyle w:val="TableContents"/>
              <w:bidi w:val="0"/>
              <w:spacing w:before="0" w:after="283"/>
              <w:jc w:val="right"/>
              <w:rPr/>
            </w:pPr>
            <w:r>
              <w:rPr/>
              <w:t>127,407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3" w:name="xdx_98B_eus-gaap--DeferredStateAndLocalI"/>
            <w:bookmarkEnd w:id="483"/>
          </w:p>
        </w:tc>
        <w:tc>
          <w:tcPr>
            <w:tcW w:w="1126" w:type="dxa"/>
            <w:tcBorders>
              <w:bottom w:val="single" w:sz="8" w:space="0" w:color="000000"/>
            </w:tcBorders>
            <w:shd w:fill="FFFFFF" w:val="clear"/>
            <w:tcMar>
              <w:bottom w:w="28" w:type="dxa"/>
            </w:tcMar>
            <w:vAlign w:val="center"/>
          </w:tcPr>
          <w:p>
            <w:pPr>
              <w:pStyle w:val="TableContents"/>
              <w:bidi w:val="0"/>
              <w:spacing w:before="0" w:after="283"/>
              <w:jc w:val="right"/>
              <w:rPr/>
            </w:pPr>
            <w:r>
              <w:rPr/>
              <w:t>(480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84" w:name="xdx_98B_eus-gaap--StateAndLocalIncomeTax"/>
            <w:bookmarkEnd w:id="484"/>
          </w:p>
        </w:tc>
        <w:tc>
          <w:tcPr>
            <w:tcW w:w="1119" w:type="dxa"/>
            <w:tcBorders>
              <w:bottom w:val="single" w:sz="8" w:space="0" w:color="000000"/>
            </w:tcBorders>
            <w:shd w:fill="FFFFFF" w:val="clear"/>
            <w:tcMar>
              <w:bottom w:w="28" w:type="dxa"/>
            </w:tcMar>
            <w:vAlign w:val="center"/>
          </w:tcPr>
          <w:p>
            <w:pPr>
              <w:pStyle w:val="TableContents"/>
              <w:bidi w:val="0"/>
              <w:spacing w:before="0" w:after="283"/>
              <w:jc w:val="right"/>
              <w:rPr/>
            </w:pPr>
            <w:r>
              <w:rPr/>
              <w:t>126,927</w:t>
            </w:r>
          </w:p>
        </w:tc>
        <w:tc>
          <w:tcPr>
            <w:tcW w:w="78" w:type="dxa"/>
            <w:tcBorders/>
            <w:shd w:fill="FFFFFF" w:val="clear"/>
            <w:vAlign w:val="center"/>
          </w:tcPr>
          <w:p>
            <w:pPr>
              <w:pStyle w:val="TableContents"/>
              <w:bidi w:val="0"/>
              <w:spacing w:before="0" w:after="283"/>
              <w:jc w:val="left"/>
              <w:rPr/>
            </w:pPr>
            <w:r>
              <w:rPr/>
              <w:t> </w:t>
            </w:r>
          </w:p>
        </w:tc>
      </w:tr>
      <w:tr>
        <w:trPr/>
        <w:tc>
          <w:tcPr>
            <w:tcW w:w="6170" w:type="dxa"/>
            <w:tcBorders/>
            <w:shd w:fill="CCEEFF" w:val="clear"/>
            <w:vAlign w:val="center"/>
          </w:tcPr>
          <w:p>
            <w:pPr>
              <w:pStyle w:val="TableContents"/>
              <w:bidi w:val="0"/>
              <w:spacing w:before="0" w:after="283"/>
              <w:jc w:val="left"/>
              <w:rPr/>
            </w:pPr>
            <w:r>
              <w:rPr/>
              <w:t>Total tax expense</w:t>
            </w:r>
          </w:p>
        </w:tc>
        <w:tc>
          <w:tcPr>
            <w:tcW w:w="60" w:type="dxa"/>
            <w:tcBorders/>
            <w:shd w:fill="CCEEFF" w:val="clear"/>
            <w:vAlign w:val="center"/>
          </w:tcPr>
          <w:p>
            <w:pPr>
              <w:pStyle w:val="TableContents"/>
              <w:bidi w:val="0"/>
              <w:spacing w:before="0" w:after="283"/>
              <w:jc w:val="left"/>
              <w:rPr/>
            </w:pPr>
            <w:r>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85" w:name="xdx_986_eus-gaap--CurrentIncomeTaxExpens"/>
            <w:bookmarkEnd w:id="485"/>
          </w:p>
        </w:tc>
        <w:tc>
          <w:tcPr>
            <w:tcW w:w="1030" w:type="dxa"/>
            <w:tcBorders>
              <w:bottom w:val="double" w:sz="6" w:space="0" w:color="000000"/>
            </w:tcBorders>
            <w:shd w:fill="CCEEFF" w:val="clear"/>
            <w:tcMar>
              <w:bottom w:w="28" w:type="dxa"/>
            </w:tcMar>
            <w:vAlign w:val="center"/>
          </w:tcPr>
          <w:p>
            <w:pPr>
              <w:pStyle w:val="TableContents"/>
              <w:bidi w:val="0"/>
              <w:spacing w:before="0" w:after="283"/>
              <w:jc w:val="right"/>
              <w:rPr/>
            </w:pPr>
            <w:r>
              <w:rPr/>
              <w:t>216,371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86" w:name="xdx_989_eus-gaap--DeferredIncomeTaxExpen"/>
            <w:bookmarkEnd w:id="486"/>
          </w:p>
        </w:tc>
        <w:tc>
          <w:tcPr>
            <w:tcW w:w="1126" w:type="dxa"/>
            <w:tcBorders>
              <w:bottom w:val="double" w:sz="6" w:space="0" w:color="000000"/>
            </w:tcBorders>
            <w:shd w:fill="CCEEFF" w:val="clear"/>
            <w:tcMar>
              <w:bottom w:w="28" w:type="dxa"/>
            </w:tcMar>
            <w:vAlign w:val="center"/>
          </w:tcPr>
          <w:p>
            <w:pPr>
              <w:pStyle w:val="TableContents"/>
              <w:bidi w:val="0"/>
              <w:spacing w:before="0" w:after="283"/>
              <w:jc w:val="right"/>
              <w:rPr/>
            </w:pPr>
            <w:r>
              <w:rPr/>
              <w:t>299,278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87" w:name="xdx_984_eus-gaap--IncomeTaxExpenseBenefi"/>
            <w:bookmarkEnd w:id="487"/>
          </w:p>
        </w:tc>
        <w:tc>
          <w:tcPr>
            <w:tcW w:w="1119" w:type="dxa"/>
            <w:tcBorders>
              <w:bottom w:val="double" w:sz="6" w:space="0" w:color="000000"/>
            </w:tcBorders>
            <w:shd w:fill="CCEEFF" w:val="clear"/>
            <w:tcMar>
              <w:bottom w:w="28" w:type="dxa"/>
            </w:tcMar>
            <w:vAlign w:val="center"/>
          </w:tcPr>
          <w:p>
            <w:pPr>
              <w:pStyle w:val="TableContents"/>
              <w:bidi w:val="0"/>
              <w:spacing w:before="0" w:after="283"/>
              <w:jc w:val="right"/>
              <w:rPr/>
            </w:pPr>
            <w:r>
              <w:rPr/>
              <w:t>515,649</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112" w:type="dxa"/>
        <w:jc w:val="left"/>
        <w:tblInd w:w="0" w:type="dxa"/>
        <w:tblLayout w:type="fixed"/>
        <w:tblCellMar>
          <w:top w:w="0" w:type="dxa"/>
          <w:left w:w="0" w:type="dxa"/>
          <w:bottom w:w="28" w:type="dxa"/>
          <w:right w:w="0" w:type="dxa"/>
        </w:tblCellMar>
      </w:tblPr>
      <w:tblGrid>
        <w:gridCol w:w="6620"/>
        <w:gridCol w:w="60"/>
        <w:gridCol w:w="154"/>
        <w:gridCol w:w="885"/>
        <w:gridCol w:w="60"/>
        <w:gridCol w:w="60"/>
        <w:gridCol w:w="154"/>
        <w:gridCol w:w="885"/>
        <w:gridCol w:w="60"/>
        <w:gridCol w:w="60"/>
        <w:gridCol w:w="154"/>
        <w:gridCol w:w="885"/>
        <w:gridCol w:w="75"/>
      </w:tblGrid>
      <w:tr>
        <w:trPr/>
        <w:tc>
          <w:tcPr>
            <w:tcW w:w="6620" w:type="dxa"/>
            <w:tcBorders>
              <w:bottom w:val="single" w:sz="8" w:space="0" w:color="000000"/>
            </w:tcBorders>
            <w:vAlign w:val="center"/>
          </w:tcPr>
          <w:p>
            <w:pPr>
              <w:pStyle w:val="TableContents"/>
              <w:bidi w:val="0"/>
              <w:spacing w:before="0" w:after="283"/>
              <w:jc w:val="left"/>
              <w:rPr>
                <w:b/>
              </w:rPr>
            </w:pPr>
            <w:r>
              <w:rPr>
                <w:b/>
              </w:rPr>
              <w:t>Tax Expense Summary, for the Six Months Ended June 30, 2025</w:t>
            </w:r>
          </w:p>
        </w:tc>
        <w:tc>
          <w:tcPr>
            <w:tcW w:w="60" w:type="dxa"/>
            <w:tcBorders/>
            <w:tcMar>
              <w:bottom w:w="0" w:type="dxa"/>
            </w:tcMar>
            <w:vAlign w:val="center"/>
          </w:tcPr>
          <w:p>
            <w:pPr>
              <w:pStyle w:val="TableContents"/>
              <w:bidi w:val="0"/>
              <w:spacing w:before="0" w:after="283"/>
              <w:jc w:val="left"/>
              <w:rPr/>
            </w:pPr>
            <w:r>
              <w:rPr/>
              <w:t> </w:t>
            </w:r>
          </w:p>
        </w:tc>
        <w:tc>
          <w:tcPr>
            <w:tcW w:w="103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3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w:t>
            </w:r>
          </w:p>
        </w:tc>
        <w:tc>
          <w:tcPr>
            <w:tcW w:w="75" w:type="dxa"/>
            <w:tcBorders/>
            <w:tcMar>
              <w:bottom w:w="0" w:type="dxa"/>
            </w:tcMar>
            <w:vAlign w:val="center"/>
          </w:tcPr>
          <w:p>
            <w:pPr>
              <w:pStyle w:val="TableContents"/>
              <w:bidi w:val="0"/>
              <w:spacing w:before="0" w:after="283"/>
              <w:jc w:val="left"/>
              <w:rPr/>
            </w:pPr>
            <w:r>
              <w:rPr/>
              <w:t> </w:t>
            </w:r>
          </w:p>
        </w:tc>
      </w:tr>
      <w:tr>
        <w:trPr/>
        <w:tc>
          <w:tcPr>
            <w:tcW w:w="6620" w:type="dxa"/>
            <w:tcBorders/>
            <w:shd w:fill="CCEEFF" w:val="clear"/>
            <w:tcMar>
              <w:bottom w:w="0" w:type="dxa"/>
            </w:tcMar>
            <w:vAlign w:val="center"/>
          </w:tcPr>
          <w:p>
            <w:pPr>
              <w:pStyle w:val="TableContents"/>
              <w:bidi w:val="0"/>
              <w:spacing w:before="0" w:after="283"/>
              <w:jc w:val="left"/>
              <w:rPr/>
            </w:pPr>
            <w:r>
              <w:rPr/>
              <w:t>Federal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w:t>
            </w:r>
            <w:bookmarkStart w:id="488" w:name="xdx_987_eus-gaap--CurrentFederalTaxExpen"/>
            <w:bookmarkEnd w:id="488"/>
          </w:p>
        </w:tc>
        <w:tc>
          <w:tcPr>
            <w:tcW w:w="885" w:type="dxa"/>
            <w:tcBorders/>
            <w:shd w:fill="CCEEFF" w:val="clear"/>
            <w:tcMar>
              <w:bottom w:w="0" w:type="dxa"/>
            </w:tcMar>
            <w:vAlign w:val="center"/>
          </w:tcPr>
          <w:p>
            <w:pPr>
              <w:pStyle w:val="TableContents"/>
              <w:bidi w:val="0"/>
              <w:spacing w:before="0" w:after="283"/>
              <w:jc w:val="right"/>
              <w:rPr/>
            </w:pPr>
            <w:r>
              <w:rPr/>
              <w:t>99,163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w:t>
            </w:r>
            <w:bookmarkStart w:id="489" w:name="xdx_98F_eus-gaap--DeferredFederalIncomeT"/>
            <w:bookmarkEnd w:id="489"/>
          </w:p>
        </w:tc>
        <w:tc>
          <w:tcPr>
            <w:tcW w:w="885" w:type="dxa"/>
            <w:tcBorders/>
            <w:shd w:fill="CCEEFF" w:val="clear"/>
            <w:tcMar>
              <w:bottom w:w="0" w:type="dxa"/>
            </w:tcMar>
            <w:vAlign w:val="center"/>
          </w:tcPr>
          <w:p>
            <w:pPr>
              <w:pStyle w:val="TableContents"/>
              <w:bidi w:val="0"/>
              <w:spacing w:before="0" w:after="283"/>
              <w:jc w:val="right"/>
              <w:rPr/>
            </w:pPr>
            <w:r>
              <w:rPr/>
              <w:t>473,274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w:t>
            </w:r>
            <w:bookmarkStart w:id="490" w:name="xdx_986_eus-gaap--FederalIncomeTaxExpens"/>
            <w:bookmarkEnd w:id="490"/>
          </w:p>
        </w:tc>
        <w:tc>
          <w:tcPr>
            <w:tcW w:w="885" w:type="dxa"/>
            <w:tcBorders/>
            <w:shd w:fill="CCEEFF" w:val="clear"/>
            <w:tcMar>
              <w:bottom w:w="0" w:type="dxa"/>
            </w:tcMar>
            <w:vAlign w:val="center"/>
          </w:tcPr>
          <w:p>
            <w:pPr>
              <w:pStyle w:val="TableContents"/>
              <w:bidi w:val="0"/>
              <w:spacing w:before="0" w:after="283"/>
              <w:jc w:val="right"/>
              <w:rPr/>
            </w:pPr>
            <w:r>
              <w:rPr/>
              <w:t>572,437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6620" w:type="dxa"/>
            <w:tcBorders/>
            <w:shd w:fill="FFFFFF" w:val="clear"/>
            <w:tcMar>
              <w:bottom w:w="0" w:type="dxa"/>
            </w:tcMar>
            <w:vAlign w:val="center"/>
          </w:tcPr>
          <w:p>
            <w:pPr>
              <w:pStyle w:val="TableContents"/>
              <w:bidi w:val="0"/>
              <w:spacing w:before="0" w:after="283"/>
              <w:jc w:val="left"/>
              <w:rPr/>
            </w:pPr>
            <w:r>
              <w:rPr/>
              <w:t>State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8" w:space="0" w:color="000000"/>
            </w:tcBorders>
            <w:shd w:fill="FFFFFF" w:val="clear"/>
            <w:vAlign w:val="center"/>
          </w:tcPr>
          <w:p>
            <w:pPr>
              <w:pStyle w:val="TableContents"/>
              <w:bidi w:val="0"/>
              <w:spacing w:before="0" w:after="283"/>
              <w:jc w:val="left"/>
              <w:rPr/>
            </w:pPr>
            <w:r>
              <w:rPr/>
              <w:t> </w:t>
            </w:r>
            <w:bookmarkStart w:id="491" w:name="xdx_987_eus-gaap--CurrentStateAndLocalTa"/>
            <w:bookmarkEnd w:id="491"/>
          </w:p>
        </w:tc>
        <w:tc>
          <w:tcPr>
            <w:tcW w:w="885" w:type="dxa"/>
            <w:tcBorders>
              <w:bottom w:val="single" w:sz="8" w:space="0" w:color="000000"/>
            </w:tcBorders>
            <w:shd w:fill="FFFFFF" w:val="clear"/>
            <w:vAlign w:val="center"/>
          </w:tcPr>
          <w:p>
            <w:pPr>
              <w:pStyle w:val="TableContents"/>
              <w:bidi w:val="0"/>
              <w:spacing w:before="0" w:after="283"/>
              <w:jc w:val="right"/>
              <w:rPr/>
            </w:pPr>
            <w:r>
              <w:rPr/>
              <w:t>21,521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8" w:space="0" w:color="000000"/>
            </w:tcBorders>
            <w:shd w:fill="FFFFFF" w:val="clear"/>
            <w:vAlign w:val="center"/>
          </w:tcPr>
          <w:p>
            <w:pPr>
              <w:pStyle w:val="TableContents"/>
              <w:bidi w:val="0"/>
              <w:spacing w:before="0" w:after="283"/>
              <w:jc w:val="left"/>
              <w:rPr/>
            </w:pPr>
            <w:r>
              <w:rPr/>
              <w:t> </w:t>
            </w:r>
            <w:bookmarkStart w:id="492" w:name="xdx_987_eus-gaap--DeferredStateAndLocalI"/>
            <w:bookmarkEnd w:id="492"/>
          </w:p>
        </w:tc>
        <w:tc>
          <w:tcPr>
            <w:tcW w:w="885" w:type="dxa"/>
            <w:tcBorders>
              <w:bottom w:val="single" w:sz="8" w:space="0" w:color="000000"/>
            </w:tcBorders>
            <w:shd w:fill="FFFFFF" w:val="clear"/>
            <w:vAlign w:val="center"/>
          </w:tcPr>
          <w:p>
            <w:pPr>
              <w:pStyle w:val="TableContents"/>
              <w:bidi w:val="0"/>
              <w:spacing w:before="0" w:after="283"/>
              <w:jc w:val="right"/>
              <w:rPr/>
            </w:pPr>
            <w:r>
              <w:rPr/>
              <w:t>93,141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8" w:space="0" w:color="000000"/>
            </w:tcBorders>
            <w:shd w:fill="FFFFFF" w:val="clear"/>
            <w:vAlign w:val="center"/>
          </w:tcPr>
          <w:p>
            <w:pPr>
              <w:pStyle w:val="TableContents"/>
              <w:bidi w:val="0"/>
              <w:spacing w:before="0" w:after="283"/>
              <w:jc w:val="left"/>
              <w:rPr/>
            </w:pPr>
            <w:r>
              <w:rPr/>
              <w:t> </w:t>
            </w:r>
            <w:bookmarkStart w:id="493" w:name="xdx_983_eus-gaap--StateAndLocalIncomeTax"/>
            <w:bookmarkEnd w:id="493"/>
          </w:p>
        </w:tc>
        <w:tc>
          <w:tcPr>
            <w:tcW w:w="885" w:type="dxa"/>
            <w:tcBorders>
              <w:bottom w:val="single" w:sz="8" w:space="0" w:color="000000"/>
            </w:tcBorders>
            <w:shd w:fill="FFFFFF" w:val="clear"/>
            <w:vAlign w:val="center"/>
          </w:tcPr>
          <w:p>
            <w:pPr>
              <w:pStyle w:val="TableContents"/>
              <w:bidi w:val="0"/>
              <w:spacing w:before="0" w:after="283"/>
              <w:jc w:val="right"/>
              <w:rPr/>
            </w:pPr>
            <w:r>
              <w:rPr/>
              <w:t>114,662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6620" w:type="dxa"/>
            <w:tcBorders/>
            <w:shd w:fill="CCEEFF" w:val="clear"/>
            <w:tcMar>
              <w:bottom w:w="0" w:type="dxa"/>
            </w:tcMar>
            <w:vAlign w:val="center"/>
          </w:tcPr>
          <w:p>
            <w:pPr>
              <w:pStyle w:val="TableContents"/>
              <w:bidi w:val="0"/>
              <w:spacing w:before="0" w:after="283"/>
              <w:jc w:val="left"/>
              <w:rPr/>
            </w:pPr>
            <w:r>
              <w:rPr/>
              <w:t>Total tax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double" w:sz="6" w:space="0" w:color="000000"/>
            </w:tcBorders>
            <w:shd w:fill="CCEEFF" w:val="clear"/>
            <w:vAlign w:val="center"/>
          </w:tcPr>
          <w:p>
            <w:pPr>
              <w:pStyle w:val="TableContents"/>
              <w:bidi w:val="0"/>
              <w:spacing w:before="0" w:after="283"/>
              <w:jc w:val="left"/>
              <w:rPr/>
            </w:pPr>
            <w:r>
              <w:rPr/>
              <w:t>$</w:t>
            </w:r>
            <w:bookmarkStart w:id="494" w:name="xdx_98E_eus-gaap--CurrentIncomeTaxExpens"/>
            <w:bookmarkEnd w:id="494"/>
          </w:p>
        </w:tc>
        <w:tc>
          <w:tcPr>
            <w:tcW w:w="885" w:type="dxa"/>
            <w:tcBorders>
              <w:bottom w:val="double" w:sz="6" w:space="0" w:color="000000"/>
            </w:tcBorders>
            <w:shd w:fill="CCEEFF" w:val="clear"/>
            <w:vAlign w:val="center"/>
          </w:tcPr>
          <w:p>
            <w:pPr>
              <w:pStyle w:val="TableContents"/>
              <w:bidi w:val="0"/>
              <w:spacing w:before="0" w:after="283"/>
              <w:jc w:val="right"/>
              <w:rPr/>
            </w:pPr>
            <w:r>
              <w:rPr/>
              <w:t>120,684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double" w:sz="6" w:space="0" w:color="000000"/>
            </w:tcBorders>
            <w:shd w:fill="CCEEFF" w:val="clear"/>
            <w:vAlign w:val="center"/>
          </w:tcPr>
          <w:p>
            <w:pPr>
              <w:pStyle w:val="TableContents"/>
              <w:bidi w:val="0"/>
              <w:spacing w:before="0" w:after="283"/>
              <w:jc w:val="left"/>
              <w:rPr/>
            </w:pPr>
            <w:r>
              <w:rPr/>
              <w:t> </w:t>
            </w:r>
            <w:bookmarkStart w:id="495" w:name="xdx_98F_eus-gaap--DeferredIncomeTaxExpen"/>
            <w:bookmarkEnd w:id="495"/>
          </w:p>
        </w:tc>
        <w:tc>
          <w:tcPr>
            <w:tcW w:w="885" w:type="dxa"/>
            <w:tcBorders>
              <w:bottom w:val="double" w:sz="6" w:space="0" w:color="000000"/>
            </w:tcBorders>
            <w:shd w:fill="CCEEFF" w:val="clear"/>
            <w:vAlign w:val="center"/>
          </w:tcPr>
          <w:p>
            <w:pPr>
              <w:pStyle w:val="TableContents"/>
              <w:bidi w:val="0"/>
              <w:spacing w:before="0" w:after="283"/>
              <w:jc w:val="right"/>
              <w:rPr/>
            </w:pPr>
            <w:r>
              <w:rPr/>
              <w:t>566,415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double" w:sz="6" w:space="0" w:color="000000"/>
            </w:tcBorders>
            <w:shd w:fill="CCEEFF" w:val="clear"/>
            <w:vAlign w:val="center"/>
          </w:tcPr>
          <w:p>
            <w:pPr>
              <w:pStyle w:val="TableContents"/>
              <w:bidi w:val="0"/>
              <w:spacing w:before="0" w:after="283"/>
              <w:jc w:val="left"/>
              <w:rPr/>
            </w:pPr>
            <w:r>
              <w:rPr/>
              <w:t>$</w:t>
            </w:r>
            <w:bookmarkStart w:id="496" w:name="xdx_980_eus-gaap--IncomeTaxExpenseBenefi"/>
            <w:bookmarkEnd w:id="496"/>
          </w:p>
        </w:tc>
        <w:tc>
          <w:tcPr>
            <w:tcW w:w="885" w:type="dxa"/>
            <w:tcBorders>
              <w:bottom w:val="double" w:sz="6" w:space="0" w:color="000000"/>
            </w:tcBorders>
            <w:shd w:fill="CCEEFF" w:val="clear"/>
            <w:vAlign w:val="center"/>
          </w:tcPr>
          <w:p>
            <w:pPr>
              <w:pStyle w:val="TableContents"/>
              <w:bidi w:val="0"/>
              <w:spacing w:before="0" w:after="283"/>
              <w:jc w:val="right"/>
              <w:rPr/>
            </w:pPr>
            <w:r>
              <w:rPr/>
              <w:t>687,099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97" w:name="xdx_8A8_zc405oJW7dTb"/>
      <w:bookmarkEnd w:id="49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paid were $</w:t>
      </w:r>
      <w:bookmarkStart w:id="498" w:name="xdx_904_eus-gaap--IncomeTaxesPaidNet_c20"/>
      <w:bookmarkEnd w:id="498"/>
      <w:r>
        <w:rPr>
          <w:rFonts w:ascii="Times New Roman;Times;Serif" w:hAnsi="Times New Roman;Times;Serif"/>
          <w:b w:val="false"/>
          <w:i w:val="false"/>
          <w:caps w:val="false"/>
          <w:smallCaps w:val="false"/>
          <w:sz w:val="20"/>
        </w:rPr>
        <w:t>397,770 and $</w:t>
      </w:r>
      <w:bookmarkStart w:id="499" w:name="xdx_909_eus-gaap--IncomeTaxesPaidNet_c20"/>
      <w:bookmarkEnd w:id="499"/>
      <w:r>
        <w:rPr>
          <w:rFonts w:ascii="Times New Roman;Times;Serif" w:hAnsi="Times New Roman;Times;Serif"/>
          <w:b w:val="false"/>
          <w:i w:val="false"/>
          <w:caps w:val="false"/>
          <w:smallCaps w:val="false"/>
          <w:sz w:val="20"/>
        </w:rPr>
        <w:t>52,841 for the six months ended June 30, 2026 and 2025, respectively. Such payments consisted of U.S. federal and state income tax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0" w:name="xdx_896_eus-gaap--ScheduleOfDeferredTaxA"/>
      <w:bookmarkEnd w:id="500"/>
      <w:r>
        <w:rPr>
          <w:rFonts w:ascii="Times New Roman;Times;Serif" w:hAnsi="Times New Roman;Times;Serif"/>
          <w:b w:val="false"/>
          <w:i w:val="false"/>
          <w:caps w:val="false"/>
          <w:smallCaps w:val="false"/>
          <w:sz w:val="20"/>
        </w:rPr>
        <w:t>The tax effects of temporary differences that give rise to significant portions of the deferred tax assets as of June 30, 2026 and December 31, 2025 were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1" w:name="xdx_8B8_zxUDCp4jets7"/>
      <w:bookmarkEnd w:id="501"/>
      <w:r>
        <w:rPr>
          <w:rFonts w:ascii="Times New Roman;Times;Serif" w:hAnsi="Times New Roman;Times;Serif"/>
          <w:b w:val="false"/>
          <w:i w:val="false"/>
          <w:caps w:val="false"/>
          <w:smallCaps w:val="false"/>
          <w:sz w:val="20"/>
        </w:rPr>
        <w:t>Schedule of Deferred Tax Assets</w:t>
      </w:r>
    </w:p>
    <w:tbl>
      <w:tblPr>
        <w:tblW w:w="6793" w:type="dxa"/>
        <w:jc w:val="left"/>
        <w:tblInd w:w="0" w:type="dxa"/>
        <w:tblLayout w:type="fixed"/>
        <w:tblCellMar>
          <w:top w:w="0" w:type="dxa"/>
          <w:left w:w="0" w:type="dxa"/>
          <w:bottom w:w="28" w:type="dxa"/>
          <w:right w:w="0" w:type="dxa"/>
        </w:tblCellMar>
      </w:tblPr>
      <w:tblGrid>
        <w:gridCol w:w="3170"/>
        <w:gridCol w:w="60"/>
        <w:gridCol w:w="210"/>
        <w:gridCol w:w="1204"/>
        <w:gridCol w:w="60"/>
        <w:gridCol w:w="60"/>
        <w:gridCol w:w="290"/>
        <w:gridCol w:w="1664"/>
        <w:gridCol w:w="75"/>
      </w:tblGrid>
      <w:tr>
        <w:trPr/>
        <w:tc>
          <w:tcPr>
            <w:tcW w:w="3170" w:type="dxa"/>
            <w:tcBorders>
              <w:bottom w:val="single" w:sz="8" w:space="0" w:color="000000"/>
            </w:tcBorders>
            <w:vAlign w:val="center"/>
          </w:tcPr>
          <w:p>
            <w:pPr>
              <w:pStyle w:val="TableContents"/>
              <w:bidi w:val="0"/>
              <w:spacing w:before="0" w:after="283"/>
              <w:jc w:val="left"/>
              <w:rPr>
                <w:b/>
              </w:rPr>
            </w:pPr>
            <w:r>
              <w:rPr>
                <w:b/>
              </w:rPr>
              <w:t>Deferred Tax Assets Summary</w:t>
            </w:r>
          </w:p>
        </w:tc>
        <w:tc>
          <w:tcPr>
            <w:tcW w:w="60" w:type="dxa"/>
            <w:tcBorders/>
            <w:tcMar>
              <w:bottom w:w="0" w:type="dxa"/>
            </w:tcMar>
            <w:vAlign w:val="center"/>
          </w:tcPr>
          <w:p>
            <w:pPr>
              <w:pStyle w:val="TableContents"/>
              <w:bidi w:val="0"/>
              <w:spacing w:before="0" w:after="283"/>
              <w:jc w:val="left"/>
              <w:rPr/>
            </w:pPr>
            <w:r>
              <w:rPr/>
              <w:t> </w:t>
            </w:r>
            <w:bookmarkStart w:id="502" w:name="xdx_49A_20260630_zGElUpvHzXB8"/>
            <w:bookmarkEnd w:id="502"/>
          </w:p>
        </w:tc>
        <w:tc>
          <w:tcPr>
            <w:tcW w:w="1414"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503" w:name="xdx_491_20251231_zm7bSs9M54z9"/>
            <w:bookmarkEnd w:id="503"/>
          </w:p>
        </w:tc>
        <w:tc>
          <w:tcPr>
            <w:tcW w:w="1954" w:type="dxa"/>
            <w:gridSpan w:val="2"/>
            <w:tcBorders>
              <w:bottom w:val="single" w:sz="8" w:space="0" w:color="000000"/>
            </w:tcBorders>
            <w:vAlign w:val="center"/>
          </w:tcPr>
          <w:p>
            <w:pPr>
              <w:pStyle w:val="TableContents"/>
              <w:bidi w:val="0"/>
              <w:spacing w:before="0" w:after="283"/>
              <w:jc w:val="center"/>
              <w:rPr>
                <w:b/>
              </w:rPr>
            </w:pPr>
            <w:r>
              <w:rPr>
                <w:b/>
              </w:rPr>
              <w:t>December 31, 2025</w:t>
            </w:r>
          </w:p>
        </w:tc>
        <w:tc>
          <w:tcPr>
            <w:tcW w:w="75" w:type="dxa"/>
            <w:tcBorders/>
            <w:tcMar>
              <w:bottom w:w="0" w:type="dxa"/>
            </w:tcMar>
            <w:vAlign w:val="center"/>
          </w:tcPr>
          <w:p>
            <w:pPr>
              <w:pStyle w:val="TableContents"/>
              <w:bidi w:val="0"/>
              <w:spacing w:before="0" w:after="283"/>
              <w:jc w:val="left"/>
              <w:rPr/>
            </w:pPr>
            <w:r>
              <w:rPr/>
              <w:t> </w:t>
            </w:r>
            <w:bookmarkStart w:id="504" w:name="xdx_406_eus-gaap--DeferredTaxAssetsLiabi"/>
            <w:bookmarkEnd w:id="504"/>
          </w:p>
        </w:tc>
      </w:tr>
      <w:tr>
        <w:trPr/>
        <w:tc>
          <w:tcPr>
            <w:tcW w:w="3170" w:type="dxa"/>
            <w:tcBorders/>
            <w:shd w:fill="CCEEFF" w:val="clear"/>
            <w:tcMar>
              <w:bottom w:w="0" w:type="dxa"/>
            </w:tcMar>
            <w:vAlign w:val="center"/>
          </w:tcPr>
          <w:p>
            <w:pPr>
              <w:pStyle w:val="TableContents"/>
              <w:bidi w:val="0"/>
              <w:spacing w:before="0" w:after="283"/>
              <w:jc w:val="left"/>
              <w:rPr/>
            </w:pPr>
            <w:r>
              <w:rPr/>
              <w:t>Federal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w:t>
            </w:r>
          </w:p>
        </w:tc>
        <w:tc>
          <w:tcPr>
            <w:tcW w:w="1204" w:type="dxa"/>
            <w:tcBorders/>
            <w:shd w:fill="CCEEFF" w:val="clear"/>
            <w:tcMar>
              <w:bottom w:w="0" w:type="dxa"/>
            </w:tcMar>
            <w:vAlign w:val="center"/>
          </w:tcPr>
          <w:p>
            <w:pPr>
              <w:pStyle w:val="TableContents"/>
              <w:bidi w:val="0"/>
              <w:spacing w:before="0" w:after="283"/>
              <w:jc w:val="right"/>
              <w:rPr/>
            </w:pPr>
            <w:r>
              <w:rPr/>
              <w:t>220,706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pPr>
            <w:r>
              <w:rPr/>
              <w:t>$</w:t>
            </w:r>
          </w:p>
        </w:tc>
        <w:tc>
          <w:tcPr>
            <w:tcW w:w="1664" w:type="dxa"/>
            <w:tcBorders/>
            <w:shd w:fill="CCEEFF" w:val="clear"/>
            <w:tcMar>
              <w:bottom w:w="0" w:type="dxa"/>
            </w:tcMar>
            <w:vAlign w:val="center"/>
          </w:tcPr>
          <w:p>
            <w:pPr>
              <w:pStyle w:val="TableContents"/>
              <w:bidi w:val="0"/>
              <w:spacing w:before="0" w:after="283"/>
              <w:jc w:val="right"/>
              <w:rPr/>
            </w:pPr>
            <w:r>
              <w:rPr/>
              <w:t>520,464</w:t>
            </w:r>
          </w:p>
        </w:tc>
        <w:tc>
          <w:tcPr>
            <w:tcW w:w="75" w:type="dxa"/>
            <w:tcBorders/>
            <w:shd w:fill="CCEEFF" w:val="clear"/>
            <w:tcMar>
              <w:bottom w:w="0" w:type="dxa"/>
            </w:tcMar>
            <w:vAlign w:val="center"/>
          </w:tcPr>
          <w:p>
            <w:pPr>
              <w:pStyle w:val="TableContents"/>
              <w:bidi w:val="0"/>
              <w:spacing w:before="0" w:after="283"/>
              <w:jc w:val="left"/>
              <w:rPr/>
            </w:pPr>
            <w:r>
              <w:rPr/>
              <w:t> </w:t>
            </w:r>
            <w:bookmarkStart w:id="505" w:name="xdx_405_eus-gaap--DeferredTaxAssetsLiabi"/>
            <w:bookmarkEnd w:id="505"/>
          </w:p>
        </w:tc>
      </w:tr>
      <w:tr>
        <w:trPr/>
        <w:tc>
          <w:tcPr>
            <w:tcW w:w="3170" w:type="dxa"/>
            <w:tcBorders/>
            <w:shd w:fill="FFFFFF" w:val="clear"/>
            <w:tcMar>
              <w:bottom w:w="0" w:type="dxa"/>
            </w:tcMar>
            <w:vAlign w:val="center"/>
          </w:tcPr>
          <w:p>
            <w:pPr>
              <w:pStyle w:val="TableContents"/>
              <w:bidi w:val="0"/>
              <w:spacing w:before="0" w:after="283"/>
              <w:jc w:val="left"/>
              <w:rPr/>
            </w:pPr>
            <w:r>
              <w:rPr/>
              <w:t>State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right"/>
              <w:rPr/>
            </w:pPr>
            <w:r>
              <w:rPr/>
              <w:t>71,837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c>
          <w:tcPr>
            <w:tcW w:w="1664" w:type="dxa"/>
            <w:tcBorders/>
            <w:shd w:fill="FFFFFF" w:val="clear"/>
            <w:tcMar>
              <w:bottom w:w="0" w:type="dxa"/>
            </w:tcMar>
            <w:vAlign w:val="center"/>
          </w:tcPr>
          <w:p>
            <w:pPr>
              <w:pStyle w:val="TableContents"/>
              <w:bidi w:val="0"/>
              <w:spacing w:before="0" w:after="283"/>
              <w:jc w:val="right"/>
              <w:rPr/>
            </w:pPr>
            <w:r>
              <w:rPr/>
              <w:t>71,357</w:t>
            </w:r>
          </w:p>
        </w:tc>
        <w:tc>
          <w:tcPr>
            <w:tcW w:w="75" w:type="dxa"/>
            <w:tcBorders/>
            <w:shd w:fill="FFFFFF" w:val="clear"/>
            <w:tcMar>
              <w:bottom w:w="0" w:type="dxa"/>
            </w:tcMar>
            <w:vAlign w:val="center"/>
          </w:tcPr>
          <w:p>
            <w:pPr>
              <w:pStyle w:val="TableContents"/>
              <w:bidi w:val="0"/>
              <w:spacing w:before="0" w:after="283"/>
              <w:jc w:val="left"/>
              <w:rPr/>
            </w:pPr>
            <w:r>
              <w:rPr/>
              <w:t> </w:t>
            </w:r>
            <w:bookmarkStart w:id="506" w:name="xdx_404_eus-gaap--DeferredTaxAssetsLiabi"/>
            <w:bookmarkEnd w:id="506"/>
          </w:p>
        </w:tc>
      </w:tr>
      <w:tr>
        <w:trPr/>
        <w:tc>
          <w:tcPr>
            <w:tcW w:w="3170" w:type="dxa"/>
            <w:tcBorders/>
            <w:shd w:fill="CCEEFF" w:val="clear"/>
            <w:tcMar>
              <w:bottom w:w="0" w:type="dxa"/>
            </w:tcMar>
            <w:vAlign w:val="center"/>
          </w:tcPr>
          <w:p>
            <w:pPr>
              <w:pStyle w:val="TableContents"/>
              <w:bidi w:val="0"/>
              <w:spacing w:before="0" w:after="283"/>
              <w:jc w:val="left"/>
              <w:rPr/>
            </w:pPr>
            <w:r>
              <w:rPr/>
              <w:t>Foreign (non-U.S.)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bottom w:val="single" w:sz="8" w:space="0" w:color="000000"/>
            </w:tcBorders>
            <w:shd w:fill="CCEEFF" w:val="clear"/>
            <w:vAlign w:val="center"/>
          </w:tcPr>
          <w:p>
            <w:pPr>
              <w:pStyle w:val="TableContents"/>
              <w:bidi w:val="0"/>
              <w:spacing w:before="0" w:after="283"/>
              <w:jc w:val="left"/>
              <w:rPr/>
            </w:pPr>
            <w:r>
              <w:rPr/>
              <w:t> </w:t>
            </w:r>
          </w:p>
        </w:tc>
        <w:tc>
          <w:tcPr>
            <w:tcW w:w="1204" w:type="dxa"/>
            <w:tcBorders>
              <w:bottom w:val="single" w:sz="8" w:space="0" w:color="000000"/>
            </w:tcBorders>
            <w:shd w:fill="CCEEFF" w:val="clear"/>
            <w:vAlign w:val="center"/>
          </w:tcPr>
          <w:p>
            <w:pPr>
              <w:pStyle w:val="TableContents"/>
              <w:bidi w:val="0"/>
              <w:spacing w:before="0" w:after="283"/>
              <w:jc w:val="right"/>
              <w:rPr/>
            </w:pPr>
            <w:r>
              <w:rPr/>
              <w:t>546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bottom w:val="single" w:sz="8" w:space="0" w:color="000000"/>
            </w:tcBorders>
            <w:shd w:fill="CCEEFF" w:val="clear"/>
            <w:vAlign w:val="center"/>
          </w:tcPr>
          <w:p>
            <w:pPr>
              <w:pStyle w:val="TableContents"/>
              <w:bidi w:val="0"/>
              <w:spacing w:before="0" w:after="283"/>
              <w:jc w:val="left"/>
              <w:rPr/>
            </w:pPr>
            <w:r>
              <w:rPr/>
              <w:t> </w:t>
            </w:r>
          </w:p>
        </w:tc>
        <w:tc>
          <w:tcPr>
            <w:tcW w:w="1664" w:type="dxa"/>
            <w:tcBorders>
              <w:bottom w:val="single" w:sz="8" w:space="0" w:color="000000"/>
            </w:tcBorders>
            <w:shd w:fill="CCEEFF" w:val="clear"/>
            <w:vAlign w:val="center"/>
          </w:tcPr>
          <w:p>
            <w:pPr>
              <w:pStyle w:val="TableContents"/>
              <w:bidi w:val="0"/>
              <w:spacing w:before="0" w:after="283"/>
              <w:jc w:val="right"/>
              <w:rPr/>
            </w:pPr>
            <w:r>
              <w:rPr/>
              <w:t>18,143</w:t>
            </w:r>
          </w:p>
        </w:tc>
        <w:tc>
          <w:tcPr>
            <w:tcW w:w="75" w:type="dxa"/>
            <w:tcBorders/>
            <w:shd w:fill="CCEEFF" w:val="clear"/>
            <w:tcMar>
              <w:bottom w:w="0" w:type="dxa"/>
            </w:tcMar>
            <w:vAlign w:val="center"/>
          </w:tcPr>
          <w:p>
            <w:pPr>
              <w:pStyle w:val="TableContents"/>
              <w:bidi w:val="0"/>
              <w:spacing w:before="0" w:after="283"/>
              <w:jc w:val="left"/>
              <w:rPr/>
            </w:pPr>
            <w:r>
              <w:rPr/>
              <w:t> </w:t>
            </w:r>
            <w:bookmarkStart w:id="507" w:name="xdx_406_eus-gaap--DeferredTaxAssetsLiabi"/>
            <w:bookmarkEnd w:id="507"/>
          </w:p>
        </w:tc>
      </w:tr>
      <w:tr>
        <w:trPr/>
        <w:tc>
          <w:tcPr>
            <w:tcW w:w="3170"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vAlign w:val="center"/>
          </w:tcPr>
          <w:p>
            <w:pPr>
              <w:pStyle w:val="TableContents"/>
              <w:bidi w:val="0"/>
              <w:spacing w:before="0" w:after="283"/>
              <w:jc w:val="left"/>
              <w:rPr/>
            </w:pPr>
            <w:r>
              <w:rPr/>
              <w:t>$</w:t>
            </w:r>
          </w:p>
        </w:tc>
        <w:tc>
          <w:tcPr>
            <w:tcW w:w="1204" w:type="dxa"/>
            <w:tcBorders>
              <w:bottom w:val="double" w:sz="6" w:space="0" w:color="000000"/>
            </w:tcBorders>
            <w:shd w:fill="FFFFFF" w:val="clear"/>
            <w:vAlign w:val="center"/>
          </w:tcPr>
          <w:p>
            <w:pPr>
              <w:pStyle w:val="TableContents"/>
              <w:bidi w:val="0"/>
              <w:spacing w:before="0" w:after="283"/>
              <w:jc w:val="right"/>
              <w:rPr/>
            </w:pPr>
            <w:r>
              <w:rPr/>
              <w:t>293,089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vAlign w:val="center"/>
          </w:tcPr>
          <w:p>
            <w:pPr>
              <w:pStyle w:val="TableContents"/>
              <w:bidi w:val="0"/>
              <w:spacing w:before="0" w:after="283"/>
              <w:jc w:val="left"/>
              <w:rPr/>
            </w:pPr>
            <w:r>
              <w:rPr/>
              <w:t>$</w:t>
            </w:r>
          </w:p>
        </w:tc>
        <w:tc>
          <w:tcPr>
            <w:tcW w:w="1664" w:type="dxa"/>
            <w:tcBorders>
              <w:bottom w:val="double" w:sz="6" w:space="0" w:color="000000"/>
            </w:tcBorders>
            <w:shd w:fill="FFFFFF" w:val="clear"/>
            <w:vAlign w:val="center"/>
          </w:tcPr>
          <w:p>
            <w:pPr>
              <w:pStyle w:val="TableContents"/>
              <w:bidi w:val="0"/>
              <w:spacing w:before="0" w:after="283"/>
              <w:jc w:val="right"/>
              <w:rPr/>
            </w:pPr>
            <w:r>
              <w:rPr/>
              <w:t>609,964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378" w:type="dxa"/>
        <w:jc w:val="left"/>
        <w:tblInd w:w="0" w:type="dxa"/>
        <w:tblLayout w:type="fixed"/>
        <w:tblCellMar>
          <w:top w:w="0" w:type="dxa"/>
          <w:left w:w="0" w:type="dxa"/>
          <w:bottom w:w="28" w:type="dxa"/>
          <w:right w:w="0" w:type="dxa"/>
        </w:tblCellMar>
      </w:tblPr>
      <w:tblGrid>
        <w:gridCol w:w="3755"/>
        <w:gridCol w:w="60"/>
        <w:gridCol w:w="210"/>
        <w:gridCol w:w="1204"/>
        <w:gridCol w:w="60"/>
        <w:gridCol w:w="60"/>
        <w:gridCol w:w="290"/>
        <w:gridCol w:w="1664"/>
        <w:gridCol w:w="75"/>
      </w:tblGrid>
      <w:tr>
        <w:trPr/>
        <w:tc>
          <w:tcPr>
            <w:tcW w:w="3755" w:type="dxa"/>
            <w:tcBorders>
              <w:bottom w:val="single" w:sz="8" w:space="0" w:color="000000"/>
            </w:tcBorders>
            <w:vAlign w:val="center"/>
          </w:tcPr>
          <w:p>
            <w:pPr>
              <w:pStyle w:val="TableContents"/>
              <w:bidi w:val="0"/>
              <w:spacing w:before="0" w:after="283"/>
              <w:jc w:val="left"/>
              <w:rPr>
                <w:b/>
              </w:rPr>
            </w:pPr>
            <w:r>
              <w:rPr>
                <w:b/>
              </w:rPr>
              <w:t>Deferred Tax Assets Summary</w:t>
            </w:r>
          </w:p>
        </w:tc>
        <w:tc>
          <w:tcPr>
            <w:tcW w:w="60" w:type="dxa"/>
            <w:tcBorders/>
            <w:tcMar>
              <w:bottom w:w="0" w:type="dxa"/>
            </w:tcMar>
            <w:vAlign w:val="center"/>
          </w:tcPr>
          <w:p>
            <w:pPr>
              <w:pStyle w:val="TableContents"/>
              <w:bidi w:val="0"/>
              <w:spacing w:before="0" w:after="283"/>
              <w:jc w:val="left"/>
              <w:rPr/>
            </w:pPr>
            <w:r>
              <w:rPr/>
              <w:t> </w:t>
            </w:r>
            <w:bookmarkStart w:id="508" w:name="xdx_49A_20260630_zQJeE7yKxDY1"/>
            <w:bookmarkEnd w:id="508"/>
          </w:p>
        </w:tc>
        <w:tc>
          <w:tcPr>
            <w:tcW w:w="1414" w:type="dxa"/>
            <w:gridSpan w:val="2"/>
            <w:tcBorders>
              <w:bottom w:val="single" w:sz="8" w:space="0" w:color="000000"/>
            </w:tcBorders>
            <w:vAlign w:val="center"/>
          </w:tcPr>
          <w:p>
            <w:pPr>
              <w:pStyle w:val="TableContents"/>
              <w:bidi w:val="0"/>
              <w:spacing w:before="0" w:after="283"/>
              <w:jc w:val="center"/>
              <w:rPr>
                <w:b/>
              </w:rPr>
            </w:pPr>
            <w:r>
              <w:rPr>
                <w:b/>
              </w:rPr>
              <w:t>June 30, 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509" w:name="xdx_491_20251231_zHMKvzTvkQT5"/>
            <w:bookmarkEnd w:id="509"/>
          </w:p>
        </w:tc>
        <w:tc>
          <w:tcPr>
            <w:tcW w:w="1954" w:type="dxa"/>
            <w:gridSpan w:val="2"/>
            <w:tcBorders>
              <w:bottom w:val="single" w:sz="8" w:space="0" w:color="000000"/>
            </w:tcBorders>
            <w:vAlign w:val="center"/>
          </w:tcPr>
          <w:p>
            <w:pPr>
              <w:pStyle w:val="TableContents"/>
              <w:bidi w:val="0"/>
              <w:spacing w:before="0" w:after="283"/>
              <w:jc w:val="center"/>
              <w:rPr>
                <w:b/>
              </w:rPr>
            </w:pPr>
            <w:r>
              <w:rPr>
                <w:b/>
              </w:rPr>
              <w:t>December 31, 2025</w:t>
            </w:r>
          </w:p>
        </w:tc>
        <w:tc>
          <w:tcPr>
            <w:tcW w:w="75" w:type="dxa"/>
            <w:tcBorders/>
            <w:tcMar>
              <w:bottom w:w="0" w:type="dxa"/>
            </w:tcMar>
            <w:vAlign w:val="center"/>
          </w:tcPr>
          <w:p>
            <w:pPr>
              <w:pStyle w:val="TableContents"/>
              <w:bidi w:val="0"/>
              <w:spacing w:before="0" w:after="283"/>
              <w:jc w:val="left"/>
              <w:rPr/>
            </w:pPr>
            <w:r>
              <w:rPr/>
              <w:t> </w:t>
            </w:r>
            <w:bookmarkStart w:id="510" w:name="xdx_408_ecustom--DeferredTaxAssetsOperat"/>
            <w:bookmarkEnd w:id="510"/>
          </w:p>
        </w:tc>
      </w:tr>
      <w:tr>
        <w:trPr/>
        <w:tc>
          <w:tcPr>
            <w:tcW w:w="3755" w:type="dxa"/>
            <w:tcBorders/>
            <w:shd w:fill="CCEEFF" w:val="clear"/>
            <w:tcMar>
              <w:bottom w:w="0" w:type="dxa"/>
            </w:tcMar>
            <w:vAlign w:val="center"/>
          </w:tcPr>
          <w:p>
            <w:pPr>
              <w:pStyle w:val="TableContents"/>
              <w:bidi w:val="0"/>
              <w:spacing w:before="0" w:after="283"/>
              <w:jc w:val="left"/>
              <w:rPr/>
            </w:pPr>
            <w:r>
              <w:rPr/>
              <w:t>Operating lease right of use lease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shd w:fill="CCEEFF" w:val="clear"/>
            <w:tcMar>
              <w:bottom w:w="0" w:type="dxa"/>
            </w:tcMar>
            <w:vAlign w:val="center"/>
          </w:tcPr>
          <w:p>
            <w:pPr>
              <w:pStyle w:val="TableContents"/>
              <w:bidi w:val="0"/>
              <w:spacing w:before="0" w:after="283"/>
              <w:jc w:val="left"/>
              <w:rPr/>
            </w:pPr>
            <w:r>
              <w:rPr/>
              <w:t>$</w:t>
            </w:r>
          </w:p>
        </w:tc>
        <w:tc>
          <w:tcPr>
            <w:tcW w:w="1204" w:type="dxa"/>
            <w:tcBorders/>
            <w:shd w:fill="CCEEFF" w:val="clear"/>
            <w:tcMar>
              <w:bottom w:w="0" w:type="dxa"/>
            </w:tcMar>
            <w:vAlign w:val="center"/>
          </w:tcPr>
          <w:p>
            <w:pPr>
              <w:pStyle w:val="TableContents"/>
              <w:bidi w:val="0"/>
              <w:spacing w:before="0" w:after="283"/>
              <w:jc w:val="right"/>
              <w:rPr/>
            </w:pPr>
            <w:r>
              <w:rPr/>
              <w:t>1,166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shd w:fill="CCEEFF" w:val="clear"/>
            <w:tcMar>
              <w:bottom w:w="0" w:type="dxa"/>
            </w:tcMar>
            <w:vAlign w:val="center"/>
          </w:tcPr>
          <w:p>
            <w:pPr>
              <w:pStyle w:val="TableContents"/>
              <w:bidi w:val="0"/>
              <w:spacing w:before="0" w:after="283"/>
              <w:jc w:val="left"/>
              <w:rPr/>
            </w:pPr>
            <w:r>
              <w:rPr/>
              <w:t>$</w:t>
            </w:r>
          </w:p>
        </w:tc>
        <w:tc>
          <w:tcPr>
            <w:tcW w:w="1664" w:type="dxa"/>
            <w:tcBorders/>
            <w:shd w:fill="CCEEFF" w:val="clear"/>
            <w:tcMar>
              <w:bottom w:w="0" w:type="dxa"/>
            </w:tcMar>
            <w:vAlign w:val="center"/>
          </w:tcPr>
          <w:p>
            <w:pPr>
              <w:pStyle w:val="TableContents"/>
              <w:bidi w:val="0"/>
              <w:spacing w:before="0" w:after="283"/>
              <w:jc w:val="right"/>
              <w:rPr/>
            </w:pPr>
            <w:r>
              <w:rPr/>
              <w:t>1,574</w:t>
            </w:r>
          </w:p>
        </w:tc>
        <w:tc>
          <w:tcPr>
            <w:tcW w:w="75" w:type="dxa"/>
            <w:tcBorders/>
            <w:shd w:fill="CCEEFF" w:val="clear"/>
            <w:tcMar>
              <w:bottom w:w="0" w:type="dxa"/>
            </w:tcMar>
            <w:vAlign w:val="center"/>
          </w:tcPr>
          <w:p>
            <w:pPr>
              <w:pStyle w:val="TableContents"/>
              <w:bidi w:val="0"/>
              <w:spacing w:before="0" w:after="283"/>
              <w:jc w:val="left"/>
              <w:rPr/>
            </w:pPr>
            <w:r>
              <w:rPr/>
              <w:t> </w:t>
            </w:r>
            <w:bookmarkStart w:id="511" w:name="xdx_409_eus-gaap--DeferredTaxAssetsInven"/>
            <w:bookmarkEnd w:id="511"/>
          </w:p>
        </w:tc>
      </w:tr>
      <w:tr>
        <w:trPr/>
        <w:tc>
          <w:tcPr>
            <w:tcW w:w="3755" w:type="dxa"/>
            <w:tcBorders/>
            <w:shd w:fill="FFFFFF" w:val="clear"/>
            <w:tcMar>
              <w:bottom w:w="0" w:type="dxa"/>
            </w:tcMar>
            <w:vAlign w:val="center"/>
          </w:tcPr>
          <w:p>
            <w:pPr>
              <w:pStyle w:val="TableContents"/>
              <w:bidi w:val="0"/>
              <w:spacing w:before="0" w:after="283"/>
              <w:jc w:val="left"/>
              <w:rPr/>
            </w:pPr>
            <w:r>
              <w:rPr/>
              <w:t>Inventories allowance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shd w:fill="FFFFFF" w:val="clear"/>
            <w:tcMar>
              <w:bottom w:w="0" w:type="dxa"/>
            </w:tcMar>
            <w:vAlign w:val="center"/>
          </w:tcPr>
          <w:p>
            <w:pPr>
              <w:pStyle w:val="TableContents"/>
              <w:bidi w:val="0"/>
              <w:spacing w:before="0" w:after="283"/>
              <w:jc w:val="left"/>
              <w:rPr/>
            </w:pPr>
            <w:r>
              <w:rPr/>
              <w:t> </w:t>
            </w:r>
          </w:p>
        </w:tc>
        <w:tc>
          <w:tcPr>
            <w:tcW w:w="1204" w:type="dxa"/>
            <w:tcBorders/>
            <w:shd w:fill="FFFFFF" w:val="clear"/>
            <w:tcMar>
              <w:bottom w:w="0" w:type="dxa"/>
            </w:tcMar>
            <w:vAlign w:val="center"/>
          </w:tcPr>
          <w:p>
            <w:pPr>
              <w:pStyle w:val="TableContents"/>
              <w:bidi w:val="0"/>
              <w:spacing w:before="0" w:after="283"/>
              <w:jc w:val="right"/>
              <w:rPr/>
            </w:pPr>
            <w:r>
              <w:rPr/>
              <w:t>93,207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 w:type="dxa"/>
            <w:tcBorders/>
            <w:shd w:fill="FFFFFF" w:val="clear"/>
            <w:tcMar>
              <w:bottom w:w="0" w:type="dxa"/>
            </w:tcMar>
            <w:vAlign w:val="center"/>
          </w:tcPr>
          <w:p>
            <w:pPr>
              <w:pStyle w:val="TableContents"/>
              <w:bidi w:val="0"/>
              <w:spacing w:before="0" w:after="283"/>
              <w:jc w:val="left"/>
              <w:rPr/>
            </w:pPr>
            <w:r>
              <w:rPr/>
              <w:t> </w:t>
            </w:r>
          </w:p>
        </w:tc>
        <w:tc>
          <w:tcPr>
            <w:tcW w:w="1664" w:type="dxa"/>
            <w:tcBorders/>
            <w:shd w:fill="FFFFFF" w:val="clear"/>
            <w:tcMar>
              <w:bottom w:w="0" w:type="dxa"/>
            </w:tcMar>
            <w:vAlign w:val="center"/>
          </w:tcPr>
          <w:p>
            <w:pPr>
              <w:pStyle w:val="TableContents"/>
              <w:bidi w:val="0"/>
              <w:spacing w:before="0" w:after="283"/>
              <w:jc w:val="right"/>
              <w:rPr/>
            </w:pPr>
            <w:r>
              <w:rPr/>
              <w:t>112,518</w:t>
            </w:r>
          </w:p>
        </w:tc>
        <w:tc>
          <w:tcPr>
            <w:tcW w:w="75" w:type="dxa"/>
            <w:tcBorders/>
            <w:shd w:fill="FFFFFF" w:val="clear"/>
            <w:tcMar>
              <w:bottom w:w="0" w:type="dxa"/>
            </w:tcMar>
            <w:vAlign w:val="center"/>
          </w:tcPr>
          <w:p>
            <w:pPr>
              <w:pStyle w:val="TableContents"/>
              <w:bidi w:val="0"/>
              <w:spacing w:before="0" w:after="283"/>
              <w:jc w:val="left"/>
              <w:rPr/>
            </w:pPr>
            <w:r>
              <w:rPr/>
              <w:t> </w:t>
            </w:r>
            <w:bookmarkStart w:id="512" w:name="xdx_40F_eus-gaap--DeferredTaxAssetsOpera"/>
            <w:bookmarkEnd w:id="512"/>
          </w:p>
        </w:tc>
      </w:tr>
      <w:tr>
        <w:trPr/>
        <w:tc>
          <w:tcPr>
            <w:tcW w:w="3755" w:type="dxa"/>
            <w:tcBorders/>
            <w:shd w:fill="CCEEFF" w:val="clear"/>
            <w:tcMar>
              <w:bottom w:w="0" w:type="dxa"/>
            </w:tcMar>
            <w:vAlign w:val="center"/>
          </w:tcPr>
          <w:p>
            <w:pPr>
              <w:pStyle w:val="TableContents"/>
              <w:bidi w:val="0"/>
              <w:spacing w:before="0" w:after="283"/>
              <w:jc w:val="left"/>
              <w:rPr/>
            </w:pPr>
            <w:r>
              <w:rPr/>
              <w:t>Net loss carry forward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0" w:type="dxa"/>
            <w:tcBorders>
              <w:bottom w:val="single" w:sz="8" w:space="0" w:color="000000"/>
            </w:tcBorders>
            <w:shd w:fill="CCEEFF" w:val="clear"/>
            <w:vAlign w:val="center"/>
          </w:tcPr>
          <w:p>
            <w:pPr>
              <w:pStyle w:val="TableContents"/>
              <w:bidi w:val="0"/>
              <w:spacing w:before="0" w:after="283"/>
              <w:jc w:val="left"/>
              <w:rPr/>
            </w:pPr>
            <w:r>
              <w:rPr/>
              <w:t> </w:t>
            </w:r>
          </w:p>
        </w:tc>
        <w:tc>
          <w:tcPr>
            <w:tcW w:w="1204" w:type="dxa"/>
            <w:tcBorders>
              <w:bottom w:val="single" w:sz="8" w:space="0" w:color="000000"/>
            </w:tcBorders>
            <w:shd w:fill="CCEEFF" w:val="clear"/>
            <w:vAlign w:val="center"/>
          </w:tcPr>
          <w:p>
            <w:pPr>
              <w:pStyle w:val="TableContents"/>
              <w:bidi w:val="0"/>
              <w:spacing w:before="0" w:after="283"/>
              <w:jc w:val="right"/>
              <w:rPr/>
            </w:pPr>
            <w:r>
              <w:rPr/>
              <w:t>198,716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 w:type="dxa"/>
            <w:tcBorders>
              <w:bottom w:val="single" w:sz="8" w:space="0" w:color="000000"/>
            </w:tcBorders>
            <w:shd w:fill="CCEEFF" w:val="clear"/>
            <w:vAlign w:val="center"/>
          </w:tcPr>
          <w:p>
            <w:pPr>
              <w:pStyle w:val="TableContents"/>
              <w:bidi w:val="0"/>
              <w:spacing w:before="0" w:after="283"/>
              <w:jc w:val="left"/>
              <w:rPr/>
            </w:pPr>
            <w:r>
              <w:rPr/>
              <w:t> </w:t>
            </w:r>
          </w:p>
        </w:tc>
        <w:tc>
          <w:tcPr>
            <w:tcW w:w="1664" w:type="dxa"/>
            <w:tcBorders>
              <w:bottom w:val="single" w:sz="8" w:space="0" w:color="000000"/>
            </w:tcBorders>
            <w:shd w:fill="CCEEFF" w:val="clear"/>
            <w:vAlign w:val="center"/>
          </w:tcPr>
          <w:p>
            <w:pPr>
              <w:pStyle w:val="TableContents"/>
              <w:bidi w:val="0"/>
              <w:spacing w:before="0" w:after="283"/>
              <w:jc w:val="right"/>
              <w:rPr/>
            </w:pPr>
            <w:r>
              <w:rPr/>
              <w:t>495,872</w:t>
            </w:r>
          </w:p>
        </w:tc>
        <w:tc>
          <w:tcPr>
            <w:tcW w:w="75" w:type="dxa"/>
            <w:tcBorders/>
            <w:shd w:fill="CCEEFF" w:val="clear"/>
            <w:tcMar>
              <w:bottom w:w="0" w:type="dxa"/>
            </w:tcMar>
            <w:vAlign w:val="center"/>
          </w:tcPr>
          <w:p>
            <w:pPr>
              <w:pStyle w:val="TableContents"/>
              <w:bidi w:val="0"/>
              <w:spacing w:before="0" w:after="283"/>
              <w:jc w:val="left"/>
              <w:rPr/>
            </w:pPr>
            <w:r>
              <w:rPr/>
              <w:t> </w:t>
            </w:r>
            <w:bookmarkStart w:id="513" w:name="xdx_404_eus-gaap--DeferredTaxAssetsNet_i"/>
            <w:bookmarkEnd w:id="513"/>
          </w:p>
        </w:tc>
      </w:tr>
      <w:tr>
        <w:trPr/>
        <w:tc>
          <w:tcPr>
            <w:tcW w:w="3755" w:type="dxa"/>
            <w:tcBorders/>
            <w:shd w:fill="FFFFFF" w:val="clear"/>
            <w:tcMar>
              <w:bottom w:w="0" w:type="dxa"/>
            </w:tcMar>
            <w:vAlign w:val="center"/>
          </w:tcPr>
          <w:p>
            <w:pPr>
              <w:pStyle w:val="TableContents"/>
              <w:bidi w:val="0"/>
              <w:spacing w:before="0" w:after="283"/>
              <w:jc w:val="left"/>
              <w:rPr/>
            </w:pPr>
            <w:r>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vAlign w:val="center"/>
          </w:tcPr>
          <w:p>
            <w:pPr>
              <w:pStyle w:val="TableContents"/>
              <w:bidi w:val="0"/>
              <w:spacing w:before="0" w:after="283"/>
              <w:jc w:val="left"/>
              <w:rPr/>
            </w:pPr>
            <w:r>
              <w:rPr/>
              <w:t>$</w:t>
            </w:r>
          </w:p>
        </w:tc>
        <w:tc>
          <w:tcPr>
            <w:tcW w:w="1204" w:type="dxa"/>
            <w:tcBorders>
              <w:bottom w:val="double" w:sz="6" w:space="0" w:color="000000"/>
            </w:tcBorders>
            <w:shd w:fill="FFFFFF" w:val="clear"/>
            <w:vAlign w:val="center"/>
          </w:tcPr>
          <w:p>
            <w:pPr>
              <w:pStyle w:val="TableContents"/>
              <w:bidi w:val="0"/>
              <w:spacing w:before="0" w:after="283"/>
              <w:jc w:val="right"/>
              <w:rPr/>
            </w:pPr>
            <w:r>
              <w:rPr/>
              <w:t>293,089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vAlign w:val="center"/>
          </w:tcPr>
          <w:p>
            <w:pPr>
              <w:pStyle w:val="TableContents"/>
              <w:bidi w:val="0"/>
              <w:spacing w:before="0" w:after="283"/>
              <w:jc w:val="left"/>
              <w:rPr/>
            </w:pPr>
            <w:r>
              <w:rPr/>
              <w:t>$</w:t>
            </w:r>
          </w:p>
        </w:tc>
        <w:tc>
          <w:tcPr>
            <w:tcW w:w="1664" w:type="dxa"/>
            <w:tcBorders>
              <w:bottom w:val="double" w:sz="6" w:space="0" w:color="000000"/>
            </w:tcBorders>
            <w:shd w:fill="FFFFFF" w:val="clear"/>
            <w:vAlign w:val="center"/>
          </w:tcPr>
          <w:p>
            <w:pPr>
              <w:pStyle w:val="TableContents"/>
              <w:bidi w:val="0"/>
              <w:spacing w:before="0" w:after="283"/>
              <w:jc w:val="right"/>
              <w:rPr/>
            </w:pPr>
            <w:r>
              <w:rPr/>
              <w:t>609,964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14" w:name="xdx_8A8_zUsSfoFbKT5k"/>
      <w:bookmarkEnd w:id="51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files income tax return in the U.S. federal jurisdiction and various state jurisdictions. Based on management’s evaluation, there is </w:t>
      </w:r>
      <w:bookmarkStart w:id="515" w:name="xdx_906_eus-gaap--UnrecognizedTaxBenefit"/>
      <w:bookmarkStart w:id="516" w:name="xdx_90D_eus-gaap--UnrecognizedTaxBenefit"/>
      <w:bookmarkEnd w:id="515"/>
      <w:bookmarkEnd w:id="516"/>
      <w:r>
        <w:rPr>
          <w:rFonts w:ascii="Times New Roman;Times;Serif" w:hAnsi="Times New Roman;Times;Serif"/>
          <w:b w:val="false"/>
          <w:i w:val="false"/>
          <w:caps w:val="false"/>
          <w:smallCaps w:val="false"/>
          <w:sz w:val="20"/>
        </w:rPr>
        <w:t>no provision necessary for material uncertain tax position for the Company as of June 30, 2026 and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for the year ended December 31, 2025, the Company reported net operating income of $</w:t>
      </w:r>
      <w:bookmarkStart w:id="517" w:name="xdx_90A_eus-gaap--InterestIncomeExpenseN"/>
      <w:bookmarkEnd w:id="517"/>
      <w:r>
        <w:rPr>
          <w:rFonts w:ascii="Times New Roman;Times;Serif" w:hAnsi="Times New Roman;Times;Serif"/>
          <w:b w:val="false"/>
          <w:i w:val="false"/>
          <w:caps w:val="false"/>
          <w:smallCaps w:val="false"/>
          <w:sz w:val="20"/>
        </w:rPr>
        <w:t>1,875,167 and $</w:t>
      </w:r>
      <w:bookmarkStart w:id="518" w:name="xdx_907_eus-gaap--InterestIncomeExpenseN"/>
      <w:bookmarkEnd w:id="518"/>
      <w:r>
        <w:rPr>
          <w:rFonts w:ascii="Times New Roman;Times;Serif" w:hAnsi="Times New Roman;Times;Serif"/>
          <w:b w:val="false"/>
          <w:i w:val="false"/>
          <w:caps w:val="false"/>
          <w:smallCaps w:val="false"/>
          <w:sz w:val="20"/>
        </w:rPr>
        <w:t xml:space="preserve">1,704,849, respectively. The net operating loss carryforward is not subject to any expiration period under federal regulations, while at the state level, the expiration period usually ranges up to </w:t>
      </w:r>
      <w:bookmarkStart w:id="519" w:name="xdx_909_ecustom--OperatingLossCarryForwa"/>
      <w:bookmarkEnd w:id="519"/>
      <w:r>
        <w:rPr>
          <w:rFonts w:ascii="Times New Roman;Times;Serif" w:hAnsi="Times New Roman;Times;Serif"/>
          <w:b w:val="false"/>
          <w:i w:val="false"/>
          <w:caps w:val="false"/>
          <w:smallCaps w:val="false"/>
          <w:sz w:val="20"/>
        </w:rPr>
        <w:t>20 years, or there may be no expiration period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generate sufficient taxable income in future periods against which the deferred tax assets can be utilized. Accordingly, a valuation allowance may not be needed.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0" w:name="xdx_809_eus-gaap--StockholdersEquityNote"/>
      <w:bookmarkEnd w:id="520"/>
      <w:r>
        <w:rPr>
          <w:rFonts w:ascii="Times New Roman;Times;Serif" w:hAnsi="Times New Roman;Times;Serif"/>
          <w:b/>
          <w:i w:val="false"/>
          <w:caps w:val="false"/>
          <w:smallCaps w:val="false"/>
          <w:sz w:val="20"/>
        </w:rPr>
        <w:t xml:space="preserve">NOTE 13 - </w:t>
      </w:r>
      <w:bookmarkStart w:id="521" w:name="xdx_821_zrxPL7lRv8sa"/>
      <w:bookmarkEnd w:id="521"/>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Company had </w:t>
      </w:r>
      <w:bookmarkStart w:id="522" w:name="xdx_907_eus-gaap--PreferredStockSharesAu"/>
      <w:bookmarkStart w:id="523" w:name="xdx_90B_eus-gaap--PreferredStockSharesAu"/>
      <w:bookmarkEnd w:id="522"/>
      <w:bookmarkEnd w:id="523"/>
      <w:r>
        <w:rPr>
          <w:rFonts w:ascii="Times New Roman;Times;Serif" w:hAnsi="Times New Roman;Times;Serif"/>
          <w:b w:val="false"/>
          <w:i w:val="false"/>
          <w:caps w:val="false"/>
          <w:smallCaps w:val="false"/>
          <w:sz w:val="20"/>
        </w:rPr>
        <w:t>10,000,000 shares of preferred stock, $</w:t>
      </w:r>
      <w:bookmarkStart w:id="524" w:name="xdx_904_eus-gaap--PreferredStockParOrSta"/>
      <w:bookmarkStart w:id="525" w:name="xdx_907_eus-gaap--PreferredStockParOrSta"/>
      <w:bookmarkEnd w:id="524"/>
      <w:bookmarkEnd w:id="525"/>
      <w:r>
        <w:rPr>
          <w:rFonts w:ascii="Times New Roman;Times;Serif" w:hAnsi="Times New Roman;Times;Serif"/>
          <w:b w:val="false"/>
          <w:i w:val="false"/>
          <w:caps w:val="false"/>
          <w:smallCaps w:val="false"/>
          <w:sz w:val="20"/>
        </w:rPr>
        <w:t xml:space="preserve">0.0001 par value per share, authorized. The Company did </w:t>
      </w:r>
      <w:bookmarkStart w:id="526" w:name="xdx_90C_eus-gaap--PreferredStockSharesOu"/>
      <w:bookmarkStart w:id="527" w:name="xdx_900_eus-gaap--PreferredStockSharesOu"/>
      <w:bookmarkStart w:id="528" w:name="xdx_903_eus-gaap--PreferredStockSharesIs"/>
      <w:bookmarkStart w:id="529" w:name="xdx_902_eus-gaap--PreferredStockSharesIs"/>
      <w:bookmarkEnd w:id="526"/>
      <w:bookmarkEnd w:id="527"/>
      <w:bookmarkEnd w:id="528"/>
      <w:bookmarkEnd w:id="529"/>
      <w:r>
        <w:rPr>
          <w:rFonts w:ascii="Times New Roman;Times;Serif" w:hAnsi="Times New Roman;Times;Serif"/>
          <w:b w:val="false"/>
          <w:i w:val="false"/>
          <w:caps w:val="false"/>
          <w:smallCaps w:val="false"/>
          <w:sz w:val="20"/>
        </w:rPr>
        <w:t>not have any preferred shares issued and outstanding as of June 30, 2026 and December 31, 2025. The holders of the preferred stock are entitled to receive dividends, if and when declared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Company had </w:t>
      </w:r>
      <w:bookmarkStart w:id="530" w:name="xdx_906_eus-gaap--CommonStockSharesAutho"/>
      <w:bookmarkStart w:id="531" w:name="xdx_907_eus-gaap--CommonStockSharesAutho"/>
      <w:bookmarkEnd w:id="530"/>
      <w:bookmarkEnd w:id="531"/>
      <w:r>
        <w:rPr>
          <w:rFonts w:ascii="Times New Roman;Times;Serif" w:hAnsi="Times New Roman;Times;Serif"/>
          <w:b w:val="false"/>
          <w:i w:val="false"/>
          <w:caps w:val="false"/>
          <w:smallCaps w:val="false"/>
          <w:sz w:val="20"/>
        </w:rPr>
        <w:t>300,000,000 shares of common stock, $</w:t>
      </w:r>
      <w:bookmarkStart w:id="532" w:name="xdx_904_eus-gaap--CommonStockParOrStated"/>
      <w:bookmarkStart w:id="533" w:name="xdx_909_eus-gaap--CommonStockParOrStated"/>
      <w:bookmarkEnd w:id="532"/>
      <w:bookmarkEnd w:id="533"/>
      <w:r>
        <w:rPr>
          <w:rFonts w:ascii="Times New Roman;Times;Serif" w:hAnsi="Times New Roman;Times;Serif"/>
          <w:b w:val="false"/>
          <w:i w:val="false"/>
          <w:caps w:val="false"/>
          <w:smallCaps w:val="false"/>
          <w:sz w:val="20"/>
        </w:rPr>
        <w:t xml:space="preserve">0.0001 par value per share, authorized. As of June 30, 2026 and December 31, 2025, there were </w:t>
      </w:r>
      <w:bookmarkStart w:id="534" w:name="xdx_902_eus-gaap--CommonStockSharesOutst"/>
      <w:bookmarkStart w:id="535" w:name="xdx_90B_eus-gaap--CommonStockSharesIssue"/>
      <w:bookmarkEnd w:id="534"/>
      <w:bookmarkEnd w:id="535"/>
      <w:r>
        <w:rPr>
          <w:rFonts w:ascii="Times New Roman;Times;Serif" w:hAnsi="Times New Roman;Times;Serif"/>
          <w:b w:val="false"/>
          <w:i w:val="false"/>
          <w:caps w:val="false"/>
          <w:smallCaps w:val="false"/>
          <w:sz w:val="20"/>
        </w:rPr>
        <w:t xml:space="preserve">35,191,890 and </w:t>
      </w:r>
      <w:bookmarkStart w:id="536" w:name="xdx_90C_eus-gaap--CommonStockSharesOutst"/>
      <w:bookmarkStart w:id="537" w:name="xdx_908_eus-gaap--CommonStockSharesIssue"/>
      <w:bookmarkEnd w:id="536"/>
      <w:bookmarkEnd w:id="537"/>
      <w:r>
        <w:rPr>
          <w:rFonts w:ascii="Times New Roman;Times;Serif" w:hAnsi="Times New Roman;Times;Serif"/>
          <w:b w:val="false"/>
          <w:i w:val="false"/>
          <w:caps w:val="false"/>
          <w:smallCaps w:val="false"/>
          <w:sz w:val="20"/>
        </w:rPr>
        <w:t>35,176,320 shares of common stock issued and outstanding,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Issuances for Stock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 2025, the Company issued </w:t>
      </w:r>
      <w:bookmarkStart w:id="538" w:name="xdx_908_eus-gaap--SharesIssued_iI_pid_c2"/>
      <w:bookmarkStart w:id="539" w:name="xdx_905_eus-gaap--SharesIssued_iI_pid_c2"/>
      <w:bookmarkStart w:id="540" w:name="xdx_909_eus-gaap--SharesIssued_iI_pid_c2"/>
      <w:bookmarkStart w:id="541" w:name="xdx_902_eus-gaap--SharesIssued_iI_pid_c2"/>
      <w:bookmarkStart w:id="542" w:name="xdx_90A_eus-gaap--SharesIssued_iI_pid_c2"/>
      <w:bookmarkEnd w:id="538"/>
      <w:bookmarkEnd w:id="539"/>
      <w:bookmarkEnd w:id="540"/>
      <w:bookmarkEnd w:id="541"/>
      <w:bookmarkEnd w:id="542"/>
      <w:r>
        <w:rPr>
          <w:rFonts w:ascii="Times New Roman;Times;Serif" w:hAnsi="Times New Roman;Times;Serif"/>
          <w:b w:val="false"/>
          <w:i w:val="false"/>
          <w:caps w:val="false"/>
          <w:smallCaps w:val="false"/>
          <w:sz w:val="20"/>
        </w:rPr>
        <w:t>1,596 shares of Company common stock to each of Sam Lai, Maggie Yu, Michael Lenner, Alan Gao and Hillary Bui, with a fair market value of $</w:t>
      </w:r>
      <w:bookmarkStart w:id="543" w:name="xdx_90D_eus-gaap--SharesIssuedPricePerSh"/>
      <w:bookmarkStart w:id="544" w:name="xdx_900_eus-gaap--SharesIssuedPricePerSh"/>
      <w:bookmarkStart w:id="545" w:name="xdx_90C_eus-gaap--SharesIssuedPricePerSh"/>
      <w:bookmarkStart w:id="546" w:name="xdx_90D_eus-gaap--SharesIssuedPricePerSh"/>
      <w:bookmarkStart w:id="547" w:name="xdx_907_eus-gaap--SharesIssuedPricePerSh"/>
      <w:bookmarkEnd w:id="543"/>
      <w:bookmarkEnd w:id="544"/>
      <w:bookmarkEnd w:id="545"/>
      <w:bookmarkEnd w:id="546"/>
      <w:bookmarkEnd w:id="547"/>
      <w:r>
        <w:rPr>
          <w:rFonts w:ascii="Times New Roman;Times;Serif" w:hAnsi="Times New Roman;Times;Serif"/>
          <w:b w:val="false"/>
          <w:i w:val="false"/>
          <w:caps w:val="false"/>
          <w:smallCaps w:val="false"/>
          <w:sz w:val="20"/>
        </w:rPr>
        <w:t>1.8799 per share as compensation for the services as executives or directors of the Company pursuant to the terms of their respective Executive Employment Agreements or Director Agreements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 2025, the Company issued </w:t>
      </w:r>
      <w:bookmarkStart w:id="548" w:name="xdx_90C_eus-gaap--SharesIssued_iI_pid_c2"/>
      <w:bookmarkStart w:id="549" w:name="xdx_900_eus-gaap--SharesIssued_iI_pid_c2"/>
      <w:bookmarkStart w:id="550" w:name="xdx_90B_eus-gaap--SharesIssued_iI_pid_c2"/>
      <w:bookmarkStart w:id="551" w:name="xdx_90D_eus-gaap--SharesIssued_iI_pid_c2"/>
      <w:bookmarkStart w:id="552" w:name="xdx_90C_eus-gaap--SharesIssued_iI_pid_c2"/>
      <w:bookmarkEnd w:id="548"/>
      <w:bookmarkEnd w:id="549"/>
      <w:bookmarkEnd w:id="550"/>
      <w:bookmarkEnd w:id="551"/>
      <w:bookmarkEnd w:id="552"/>
      <w:r>
        <w:rPr>
          <w:rFonts w:ascii="Times New Roman;Times;Serif" w:hAnsi="Times New Roman;Times;Serif"/>
          <w:b w:val="false"/>
          <w:i w:val="false"/>
          <w:caps w:val="false"/>
          <w:smallCaps w:val="false"/>
          <w:sz w:val="20"/>
        </w:rPr>
        <w:t>1,750 shares of Company common stock to each of Sam Lai, Maggie Yu, Michael Lenner, Alan Gao and Hillary Bui, with a fair market value of $</w:t>
      </w:r>
      <w:bookmarkStart w:id="553" w:name="xdx_907_eus-gaap--SharesIssuedPricePerSh"/>
      <w:bookmarkStart w:id="554" w:name="xdx_90F_eus-gaap--SharesIssuedPricePerSh"/>
      <w:bookmarkStart w:id="555" w:name="xdx_90E_eus-gaap--SharesIssuedPricePerSh"/>
      <w:bookmarkStart w:id="556" w:name="xdx_908_eus-gaap--SharesIssuedPricePerSh"/>
      <w:bookmarkStart w:id="557" w:name="xdx_902_eus-gaap--SharesIssuedPricePerSh"/>
      <w:bookmarkEnd w:id="553"/>
      <w:bookmarkEnd w:id="554"/>
      <w:bookmarkEnd w:id="555"/>
      <w:bookmarkEnd w:id="556"/>
      <w:bookmarkEnd w:id="557"/>
      <w:r>
        <w:rPr>
          <w:rFonts w:ascii="Times New Roman;Times;Serif" w:hAnsi="Times New Roman;Times;Serif"/>
          <w:b w:val="false"/>
          <w:i w:val="false"/>
          <w:caps w:val="false"/>
          <w:smallCaps w:val="false"/>
          <w:sz w:val="20"/>
        </w:rPr>
        <w:t>1.7140 per share as compensation for the services as executives or directors of the Company pursuant to the terms of their respective Executive Employment Agreements or Director Agreements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 2025, the Company issued </w:t>
      </w:r>
      <w:bookmarkStart w:id="558" w:name="xdx_907_eus-gaap--SharesIssued_iI_pid_c2"/>
      <w:bookmarkStart w:id="559" w:name="xdx_906_eus-gaap--SharesIssued_iI_pid_c2"/>
      <w:bookmarkStart w:id="560" w:name="xdx_908_eus-gaap--SharesIssued_iI_pid_c2"/>
      <w:bookmarkStart w:id="561" w:name="xdx_90D_eus-gaap--SharesIssued_iI_pid_c2"/>
      <w:bookmarkStart w:id="562" w:name="xdx_906_eus-gaap--SharesIssued_iI_pid_c2"/>
      <w:bookmarkEnd w:id="558"/>
      <w:bookmarkEnd w:id="559"/>
      <w:bookmarkEnd w:id="560"/>
      <w:bookmarkEnd w:id="561"/>
      <w:bookmarkEnd w:id="562"/>
      <w:r>
        <w:rPr>
          <w:rFonts w:ascii="Times New Roman;Times;Serif" w:hAnsi="Times New Roman;Times;Serif"/>
          <w:b w:val="false"/>
          <w:i w:val="false"/>
          <w:caps w:val="false"/>
          <w:smallCaps w:val="false"/>
          <w:sz w:val="20"/>
        </w:rPr>
        <w:t>2,275 shares of Company common stock to each of Sam Lai, Maggie Yu, Michael Lenner, Alan Gao and Hillary Bui, with a fair market value of $</w:t>
      </w:r>
      <w:bookmarkStart w:id="563" w:name="xdx_907_eus-gaap--SharesIssuedPricePerSh"/>
      <w:bookmarkStart w:id="564" w:name="xdx_90F_eus-gaap--SharesIssuedPricePerSh"/>
      <w:bookmarkStart w:id="565" w:name="xdx_90C_eus-gaap--SharesIssuedPricePerSh"/>
      <w:bookmarkStart w:id="566" w:name="xdx_906_eus-gaap--SharesIssuedPricePerSh"/>
      <w:bookmarkStart w:id="567" w:name="xdx_906_eus-gaap--SharesIssuedPricePerSh"/>
      <w:bookmarkEnd w:id="563"/>
      <w:bookmarkEnd w:id="564"/>
      <w:bookmarkEnd w:id="565"/>
      <w:bookmarkEnd w:id="566"/>
      <w:bookmarkEnd w:id="567"/>
      <w:r>
        <w:rPr>
          <w:rFonts w:ascii="Times New Roman;Times;Serif" w:hAnsi="Times New Roman;Times;Serif"/>
          <w:b w:val="false"/>
          <w:i w:val="false"/>
          <w:caps w:val="false"/>
          <w:smallCaps w:val="false"/>
          <w:sz w:val="20"/>
        </w:rPr>
        <w:t>1.3185 per share as compensation for the services as executives or directors of the Company pursuant to the terms of their respective Executive Employment Agreements or Director Agreements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3, 2025, the Company issued </w:t>
      </w:r>
      <w:bookmarkStart w:id="568" w:name="xdx_90B_eus-gaap--SharesIssued_iI_pid_c2"/>
      <w:bookmarkStart w:id="569" w:name="xdx_90F_eus-gaap--SharesIssued_iI_pid_c2"/>
      <w:bookmarkStart w:id="570" w:name="xdx_905_eus-gaap--SharesIssued_iI_pid_c2"/>
      <w:bookmarkStart w:id="571" w:name="xdx_90F_eus-gaap--SharesIssued_iI_pid_c2"/>
      <w:bookmarkStart w:id="572" w:name="xdx_901_eus-gaap--SharesIssued_iI_pid_c2"/>
      <w:bookmarkEnd w:id="568"/>
      <w:bookmarkEnd w:id="569"/>
      <w:bookmarkEnd w:id="570"/>
      <w:bookmarkEnd w:id="571"/>
      <w:bookmarkEnd w:id="572"/>
      <w:r>
        <w:rPr>
          <w:rFonts w:ascii="Times New Roman;Times;Serif" w:hAnsi="Times New Roman;Times;Serif"/>
          <w:b w:val="false"/>
          <w:i w:val="false"/>
          <w:caps w:val="false"/>
          <w:smallCaps w:val="false"/>
          <w:sz w:val="20"/>
        </w:rPr>
        <w:t>951 shares of Company common stock to each of Sam Lai, Maggie Yu, Michael Lenner, Alan Gao and Hillary Bui, with a fair market value of $</w:t>
      </w:r>
      <w:bookmarkStart w:id="573" w:name="xdx_901_eus-gaap--SharesIssuedPricePerSh"/>
      <w:bookmarkStart w:id="574" w:name="xdx_909_eus-gaap--SharesIssuedPricePerSh"/>
      <w:bookmarkStart w:id="575" w:name="xdx_905_eus-gaap--SharesIssuedPricePerSh"/>
      <w:bookmarkStart w:id="576" w:name="xdx_90E_eus-gaap--SharesIssuedPricePerSh"/>
      <w:bookmarkStart w:id="577" w:name="xdx_902_eus-gaap--SharesIssuedPricePerSh"/>
      <w:bookmarkEnd w:id="573"/>
      <w:bookmarkEnd w:id="574"/>
      <w:bookmarkEnd w:id="575"/>
      <w:bookmarkEnd w:id="576"/>
      <w:bookmarkEnd w:id="577"/>
      <w:r>
        <w:rPr>
          <w:rFonts w:ascii="Times New Roman;Times;Serif" w:hAnsi="Times New Roman;Times;Serif"/>
          <w:b w:val="false"/>
          <w:i w:val="false"/>
          <w:caps w:val="false"/>
          <w:smallCaps w:val="false"/>
          <w:sz w:val="20"/>
        </w:rPr>
        <w:t>3.1530 per share as compensation for the services as executives or directors of the Company pursuant to the terms of their respective Executive Employment Agreements or Director Agreements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5, 2026, the Company issued </w:t>
      </w:r>
      <w:bookmarkStart w:id="578" w:name="xdx_907_eus-gaap--SharesIssued_iI_pid_c2"/>
      <w:bookmarkStart w:id="579" w:name="xdx_907_eus-gaap--SharesIssued_iI_pid_c2"/>
      <w:bookmarkStart w:id="580" w:name="xdx_903_eus-gaap--SharesIssued_iI_pid_c2"/>
      <w:bookmarkStart w:id="581" w:name="xdx_907_eus-gaap--SharesIssued_iI_pid_c2"/>
      <w:bookmarkStart w:id="582" w:name="xdx_90B_eus-gaap--SharesIssued_iI_pid_c2"/>
      <w:bookmarkEnd w:id="578"/>
      <w:bookmarkEnd w:id="579"/>
      <w:bookmarkEnd w:id="580"/>
      <w:bookmarkEnd w:id="581"/>
      <w:bookmarkEnd w:id="582"/>
      <w:r>
        <w:rPr>
          <w:rFonts w:ascii="Times New Roman;Times;Serif" w:hAnsi="Times New Roman;Times;Serif"/>
          <w:b w:val="false"/>
          <w:i w:val="false"/>
          <w:caps w:val="false"/>
          <w:smallCaps w:val="false"/>
          <w:sz w:val="20"/>
        </w:rPr>
        <w:t>1,514 shares of Company common stock to each of Sam Lai, Maggie Yu, Michael Lenner, Alan Gao and Hillary Bui, with a fair market value of $</w:t>
      </w:r>
      <w:bookmarkStart w:id="583" w:name="xdx_90C_eus-gaap--SharesIssuedPricePerSh"/>
      <w:bookmarkStart w:id="584" w:name="xdx_905_eus-gaap--SharesIssuedPricePerSh"/>
      <w:bookmarkStart w:id="585" w:name="xdx_905_eus-gaap--SharesIssuedPricePerSh"/>
      <w:bookmarkStart w:id="586" w:name="xdx_900_eus-gaap--SharesIssuedPricePerSh"/>
      <w:bookmarkStart w:id="587" w:name="xdx_905_eus-gaap--SharesIssuedPricePerSh"/>
      <w:bookmarkEnd w:id="583"/>
      <w:bookmarkEnd w:id="584"/>
      <w:bookmarkEnd w:id="585"/>
      <w:bookmarkEnd w:id="586"/>
      <w:bookmarkEnd w:id="587"/>
      <w:r>
        <w:rPr>
          <w:rFonts w:ascii="Times New Roman;Times;Serif" w:hAnsi="Times New Roman;Times;Serif"/>
          <w:b w:val="false"/>
          <w:i w:val="false"/>
          <w:caps w:val="false"/>
          <w:smallCaps w:val="false"/>
          <w:sz w:val="20"/>
        </w:rPr>
        <w:t>1.9815 per share as compensation for the services as executives or directors of the Company pursuant to the terms of their respective Executive Employment Agreements or Director Agreements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6, 2026, the Company issued </w:t>
      </w:r>
      <w:bookmarkStart w:id="588" w:name="xdx_90D_eus-gaap--SharesIssued_iI_pid_c2"/>
      <w:bookmarkEnd w:id="588"/>
      <w:r>
        <w:rPr>
          <w:rFonts w:ascii="Times New Roman;Times;Serif" w:hAnsi="Times New Roman;Times;Serif"/>
          <w:b w:val="false"/>
          <w:i w:val="false"/>
          <w:caps w:val="false"/>
          <w:smallCaps w:val="false"/>
          <w:sz w:val="20"/>
        </w:rPr>
        <w:t>1,600 shares of Company common stock to each of Sam Lai, Maggie Yu, Michael Lenner, Alan Gao and Hillary Bui, with a fair market value of $</w:t>
      </w:r>
      <w:bookmarkStart w:id="589" w:name="xdx_90B_eus-gaap--SharesIssuedPricePerSh"/>
      <w:bookmarkEnd w:id="589"/>
      <w:r>
        <w:rPr>
          <w:rFonts w:ascii="Times New Roman;Times;Serif" w:hAnsi="Times New Roman;Times;Serif"/>
          <w:b w:val="false"/>
          <w:i w:val="false"/>
          <w:caps w:val="false"/>
          <w:smallCaps w:val="false"/>
          <w:sz w:val="20"/>
        </w:rPr>
        <w:t>1.8745 per share as compensation for the services as executives or directors of the Company pursuant to the terms of their respective Executive Employment Agreements or Director Agreements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0" w:name="xdx_80C_eus-gaap--CommitmentsAndContinge"/>
      <w:bookmarkEnd w:id="590"/>
      <w:r>
        <w:rPr>
          <w:rFonts w:ascii="Times New Roman;Times;Serif" w:hAnsi="Times New Roman;Times;Serif"/>
          <w:b/>
          <w:i w:val="false"/>
          <w:caps w:val="false"/>
          <w:smallCaps w:val="false"/>
          <w:sz w:val="20"/>
        </w:rPr>
        <w:t xml:space="preserve">NOTE 14 - </w:t>
      </w:r>
      <w:bookmarkStart w:id="591" w:name="xdx_829_zqVqQNwL9SNb"/>
      <w:bookmarkEnd w:id="591"/>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Company had no material or significant commitments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time-to-time, the Company is subject to various litigation and other claims in the normal course of business. The Company establishes liabilities in connection with legal actions that management deems to be probable and estimable. As of June 30, 2026 and December 31, 2025, the Company had no pending material legal proceedings. No amounts have been accrued in the unaudited consolidated financial statements with respect to any such matters.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2" w:name="xdx_80F_eus-gaap--SubsequentEventsTextBl"/>
      <w:bookmarkEnd w:id="592"/>
      <w:r>
        <w:rPr>
          <w:rFonts w:ascii="Times New Roman;Times;Serif" w:hAnsi="Times New Roman;Times;Serif"/>
          <w:b/>
          <w:i w:val="false"/>
          <w:caps w:val="false"/>
          <w:smallCaps w:val="false"/>
          <w:sz w:val="20"/>
        </w:rPr>
        <w:t xml:space="preserve">NOTE 15 - </w:t>
      </w:r>
      <w:bookmarkStart w:id="593" w:name="xdx_82C_zNYzdKmKJOD2"/>
      <w:bookmarkEnd w:id="593"/>
      <w:r>
        <w:rPr>
          <w:rFonts w:ascii="Times New Roman;Times;Serif" w:hAnsi="Times New Roman;Times;Serif"/>
          <w:b/>
          <w:i w:val="false"/>
          <w:caps w:val="false"/>
          <w:smallCaps w:val="false"/>
          <w:sz w:val="20"/>
        </w:rPr>
        <w:t>Subsequent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Equity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 2026, the Company issued </w:t>
      </w:r>
      <w:bookmarkStart w:id="594" w:name="xdx_90E_eus-gaap--ShareBasedCompensation"/>
      <w:bookmarkStart w:id="595" w:name="xdx_908_eus-gaap--ShareBasedCompensation"/>
      <w:bookmarkStart w:id="596" w:name="xdx_908_eus-gaap--ShareBasedCompensation"/>
      <w:bookmarkStart w:id="597" w:name="xdx_903_eus-gaap--ShareBasedCompensation"/>
      <w:bookmarkStart w:id="598" w:name="xdx_909_eus-gaap--ShareBasedCompensation"/>
      <w:bookmarkEnd w:id="594"/>
      <w:bookmarkEnd w:id="595"/>
      <w:bookmarkEnd w:id="596"/>
      <w:bookmarkEnd w:id="597"/>
      <w:bookmarkEnd w:id="598"/>
      <w:r>
        <w:rPr>
          <w:rFonts w:ascii="Times New Roman;Times;Serif" w:hAnsi="Times New Roman;Times;Serif"/>
          <w:b w:val="false"/>
          <w:i w:val="false"/>
          <w:caps w:val="false"/>
          <w:smallCaps w:val="false"/>
          <w:sz w:val="20"/>
        </w:rPr>
        <w:t>1,586 shares of Company common stock to each of Sam Lai, Maggie Yu, Michael Lenner, Alan Gao and Hillary Bui, with a fair market value of $</w:t>
      </w:r>
      <w:bookmarkStart w:id="599" w:name="xdx_909_eus-gaap--SharesIssuedPricePerSh"/>
      <w:bookmarkStart w:id="600" w:name="xdx_90E_eus-gaap--SharesIssuedPricePerSh"/>
      <w:bookmarkStart w:id="601" w:name="xdx_904_eus-gaap--SharesIssuedPricePerSh"/>
      <w:bookmarkStart w:id="602" w:name="xdx_901_eus-gaap--SharesIssuedPricePerSh"/>
      <w:bookmarkStart w:id="603" w:name="xdx_901_eus-gaap--SharesIssuedPricePerSh"/>
      <w:bookmarkEnd w:id="599"/>
      <w:bookmarkEnd w:id="600"/>
      <w:bookmarkEnd w:id="601"/>
      <w:bookmarkEnd w:id="602"/>
      <w:bookmarkEnd w:id="603"/>
      <w:r>
        <w:rPr>
          <w:rFonts w:ascii="Times New Roman;Times;Serif" w:hAnsi="Times New Roman;Times;Serif"/>
          <w:b w:val="false"/>
          <w:i w:val="false"/>
          <w:caps w:val="false"/>
          <w:smallCaps w:val="false"/>
          <w:sz w:val="20"/>
        </w:rPr>
        <w:t>1.8910 per share as compensation for the services as executives or directors of the Company pursuant to the terms of their respective Executive Employment Agreements or Director Agreements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Fourth Amendment to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the Company entered into the Fourth Amendment (the “Fourth Amendment”) to Loan Agreement by and among the Company, Sam Lai (the Company’s Chairman of the Board, Chief Executive Officer and Interim Chief Financial Officer and a significant stockholder of the Company) and Sau Kuen Yu (the Company’s Senior Vice President, a member of the Company’s Board of Directors and a significant stockholder of the Company). Pursuant to the terms of the Fourth Amendment, the Company agreed to repay the loan in the principal amount of $</w:t>
      </w:r>
      <w:bookmarkStart w:id="604" w:name="xdx_909_eus-gaap--DebtInstrumentPeriodic"/>
      <w:bookmarkEnd w:id="604"/>
      <w:r>
        <w:rPr>
          <w:rFonts w:ascii="Times New Roman;Times;Serif" w:hAnsi="Times New Roman;Times;Serif"/>
          <w:b w:val="false"/>
          <w:i w:val="false"/>
          <w:caps w:val="false"/>
          <w:smallCaps w:val="false"/>
          <w:sz w:val="20"/>
        </w:rPr>
        <w:t>3,410,418 to Mr. Lai and Ms. Yu through monthly settlements of $</w:t>
      </w:r>
      <w:bookmarkStart w:id="605" w:name="xdx_900_eus-gaap--DebtInstrumentPeriodic"/>
      <w:bookmarkEnd w:id="605"/>
      <w:r>
        <w:rPr>
          <w:rFonts w:ascii="Times New Roman;Times;Serif" w:hAnsi="Times New Roman;Times;Serif"/>
          <w:b w:val="false"/>
          <w:i w:val="false"/>
          <w:caps w:val="false"/>
          <w:smallCaps w:val="false"/>
          <w:sz w:val="20"/>
        </w:rPr>
        <w:t xml:space="preserve">200,000, commencing August 31, 2026. As amended by the Fourth Amendment, the loan matures on December 31, 2026 and bears interest at an annual rate of </w:t>
      </w:r>
      <w:bookmarkStart w:id="606" w:name="xdx_900_eus-gaap--DebtInstrumentInterest"/>
      <w:bookmarkEnd w:id="606"/>
      <w:r>
        <w:rPr>
          <w:rFonts w:ascii="Times New Roman;Times;Serif" w:hAnsi="Times New Roman;Times;Serif"/>
          <w:b w:val="false"/>
          <w:i w:val="false"/>
          <w:caps w:val="false"/>
          <w:smallCaps w:val="false"/>
          <w:sz w:val="20"/>
        </w:rPr>
        <w:t>4.75%. The parties also agreed to discuss quarterly and make reasonable efforts, subject to the Company’s normal cash reserve and expansion plan, if any, to explore the possibility of early or delayed repayments.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from the balance sheet date through August 11, 2026, the date at which the financial statements were available to be issued, and determined that, apart from the events mentioned above, there are no other subsequent events to disclose.</w:t>
      </w:r>
    </w:p>
    <w:p>
      <w:pPr>
        <w:pStyle w:val="TextBody"/>
        <w:bidi w:val="0"/>
        <w:spacing w:before="0" w:after="0"/>
        <w:ind w:left="0" w:right="0" w:hanging="0"/>
        <w:jc w:val="both"/>
        <w:rPr>
          <w:caps w:val="false"/>
          <w:smallCaps w:val="false"/>
        </w:rPr>
      </w:pPr>
      <w:bookmarkStart w:id="607" w:name="xdx_812_z2I3bRopsNQ5"/>
      <w:bookmarkEnd w:id="60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8" w:name="sh_001"/>
      <w:bookmarkEnd w:id="608"/>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Private Securities Litigation Reform Act of 1995 and Section 27A of the Securities Act of 1933, as amended (the “Securities Act”), and Section 21E of the Securities Exchange Act of 1934, as amended (the “Exchange Act”), provide a safe harbor for forward-looking statements made by or on behalf of Hour Loop, Inc. (“we,” “us,” “our,” “Hour Loop” or the “Company”). The Company and its representatives may from time to time make written or oral statements that are “forward-looking,” including statements contained in this report and other filings with the Securities and Exchange Commission (“SEC”) and in our reports and presentations to stockholders or potential stockholders. In some cases, forward-looking statements can be identified by words such as “believe,” “expect,” “anticipate,” “plan,” “potential,” “continue” or similar expressions. Such forward-looking statements include risks and uncertainties and there are important factors that could cause actual results to differ materially from those expressed or implied by such forward-looking statements. These factors, risks and uncertainties can be found in Part I, Item 1A, “Risk Factors,” of our Annual Report on Form 10-K for the fiscal year ended December 31, 2025, as the same may be updated from time to time, including in Part II, Item 1A, “Risk Factors,” of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Although we believe the expectations reflected in our forward-looking statements are based upon reasonable assumptions, it is not possible to foresee or identify all factors that could have a material effect on our future financial performance. The forward-looking statements in this report are made on the basis of management’s assumptions and analyses, as of the time the statements are made, in light of their experience and perception of historical conditions, expected future developments and other factors believed to be appropriate under the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otherwise required by the federal securities laws, we disclaim any obligation or undertaking to publicly release any updates or revisions to any forward-looking statement contained in this Quarterly Report on Form 10-Q and the information incorporated by reference in this report to reflect any change in our expectations with regard thereto or any change in events, conditions or circumstances on which any statement is based.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an online retailer engaged in e-commerce retailing in the U.S. market. We have operated as a third-party seller on </w:t>
      </w:r>
      <w:r>
        <w:rPr>
          <w:rFonts w:ascii="Times New Roman;Times;Serif" w:hAnsi="Times New Roman;Times;Serif"/>
          <w:b w:val="false"/>
          <w:i/>
          <w:caps w:val="false"/>
          <w:smallCaps w:val="false"/>
          <w:sz w:val="20"/>
        </w:rPr>
        <w:t>www.amazon.com</w:t>
      </w:r>
      <w:r>
        <w:rPr>
          <w:rFonts w:ascii="Times New Roman;Times;Serif" w:hAnsi="Times New Roman;Times;Serif"/>
          <w:b w:val="false"/>
          <w:i w:val="false"/>
          <w:caps w:val="false"/>
          <w:smallCaps w:val="false"/>
          <w:sz w:val="20"/>
        </w:rPr>
        <w:t xml:space="preserve"> (“Amazon”) since 2013, and on </w:t>
      </w:r>
      <w:r>
        <w:rPr>
          <w:rFonts w:ascii="Times New Roman;Times;Serif" w:hAnsi="Times New Roman;Times;Serif"/>
          <w:b w:val="false"/>
          <w:i/>
          <w:caps w:val="false"/>
          <w:smallCaps w:val="false"/>
          <w:sz w:val="20"/>
        </w:rPr>
        <w:t>www.walmart.com</w:t>
      </w:r>
      <w:r>
        <w:rPr>
          <w:rFonts w:ascii="Times New Roman;Times;Serif" w:hAnsi="Times New Roman;Times;Serif"/>
          <w:b w:val="false"/>
          <w:i w:val="false"/>
          <w:caps w:val="false"/>
          <w:smallCaps w:val="false"/>
          <w:sz w:val="20"/>
        </w:rPr>
        <w:t xml:space="preserve"> (“Walmart”) since 2020. We have also sold merchandise on our website at </w:t>
      </w:r>
      <w:r>
        <w:rPr>
          <w:rFonts w:ascii="Times New Roman;Times;Serif" w:hAnsi="Times New Roman;Times;Serif"/>
          <w:b w:val="false"/>
          <w:i/>
          <w:caps w:val="false"/>
          <w:smallCaps w:val="false"/>
          <w:sz w:val="20"/>
        </w:rPr>
        <w:t>www.hourloop.com</w:t>
      </w:r>
      <w:r>
        <w:rPr>
          <w:rFonts w:ascii="Times New Roman;Times;Serif" w:hAnsi="Times New Roman;Times;Serif"/>
          <w:b w:val="false"/>
          <w:i w:val="false"/>
          <w:caps w:val="false"/>
          <w:smallCaps w:val="false"/>
          <w:sz w:val="20"/>
        </w:rPr>
        <w:t xml:space="preserve"> since 2013. To date, we have generated practically all of our revenues as a third-party seller on Amazon and only a negligible amount of revenues from our operations on our website at </w:t>
      </w:r>
      <w:r>
        <w:rPr>
          <w:rFonts w:ascii="Times New Roman;Times;Serif" w:hAnsi="Times New Roman;Times;Serif"/>
          <w:b w:val="false"/>
          <w:i/>
          <w:caps w:val="false"/>
          <w:smallCaps w:val="false"/>
          <w:sz w:val="20"/>
        </w:rPr>
        <w:t>www.hourloop.com</w:t>
      </w:r>
      <w:r>
        <w:rPr>
          <w:rFonts w:ascii="Times New Roman;Times;Serif" w:hAnsi="Times New Roman;Times;Serif"/>
          <w:b w:val="false"/>
          <w:i w:val="false"/>
          <w:caps w:val="false"/>
          <w:smallCaps w:val="false"/>
          <w:sz w:val="20"/>
        </w:rPr>
        <w:t xml:space="preserve"> and as a third-party seller on Walmart. We manage more than 100,000 stock-keeping units (“SKUs”). Product categories include home/garden décor, toys, kitchenware, apparel, and electronics. Our primary strategy is to bring most of our vendors’ product selections to the customers. We have advanced software that assists us in identifying product gaps so we can keep such products in stock year-round including the entirety of the fourth quarter (holiday season) of the calendar year. In upcoming years, we plan to expand our business rapidly by increasing the number of business managers, vendors and SKUs.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three main types of business models on Amazon: wholesale, private label and retail arbitrage. Our business model is wholesale, also known as reselling, which refers to buying products in bulk directly from the brand or manufacturer at a wholesale price and making a profit by selling the product on Amazon. We sell merchandise on Amazon and the sales are fulfilled by Amazon. We pay Amazon fees for allowing us to sell on their platform. Our relationship with Walmart is also similar. We pay Walmart fees for allowing us to sell our merchandise on their platform. As stated above, to date, we have generated only a negligible amount of revenues as a third-party seller on Walmart.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advantages of selling via a wholesale model include the following:</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75"/>
        <w:gridCol w:w="170"/>
        <w:gridCol w:w="81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lower unit quantities with wholesale orders than private label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wholesale is less time intensive and easier to scale than sourcing products via retail arbitrage.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1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brands will want to work with us because we can provide broader Amazon presence.</w:t>
            </w:r>
          </w:p>
        </w:tc>
      </w:tr>
    </w:tbl>
    <w:p>
      <w:pPr>
        <w:pStyle w:val="TextBody"/>
        <w:shd w:fill="FFFFFF" w:val="clear"/>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challenges of selling via a wholesale model include the following:</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170"/>
        <w:gridCol w:w="61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Fierce competition on listing for Buy Box on Amazon (as described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maintaining relationships with brand manufacturers.</w:t>
            </w:r>
          </w:p>
        </w:tc>
      </w:tr>
    </w:tbl>
    <w:p>
      <w:pPr>
        <w:pStyle w:val="TextBody"/>
        <w:bidi w:val="0"/>
        <w:spacing w:before="0" w:after="0"/>
        <w:ind w:left="3"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in 2013 by Sam Lai, our Chairman of the Board, Chief Executive Officer, interim Chief Financial Officer and significant stockholder, and Maggie Yu, our Senior Vice President, a member of our Board of Directors and a significant stockholder. Mr. Lai and Ms. Yu are husband and wife. With their vision, leadership, and software development skills, the Company grew rapidly. From 2013 to 2025, net sales grew from $0 to $142,440,236.</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Competitive Advantage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the approximately 1.9 million active third-party sellers on Amazon, we believe we have two main competitive advantages: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we have strong operations and sales teams experienced in listing, shipment, advertising, reconciliation and sales. By delivering high quality results and enhancing procedures through the process, our teams are competitive.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we believe our proprietary software system gives us an advantage over our competition. The system is highly customized to our business model; it collects and processes large amounts of data every day to optimize our operation and sales. Through advanced software, we can identify product gaps and keep them in stock all year round.</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advertising strategy, we advertise those products that we estimate will have greater demand based on our experience. This lets us allocate our advertising budget in a fashion that delivers positive value. We advertise our products on Amazon and allocate our advertising dollars prudently. This is accomplished by advertising items that deliver the most return for our advertising spending. We monitor the items being advertised by our competitors. On the operations side, we constantly refine our processes based on learnings from historical data. The combination of managing the business operations effectively, along with allocating our advertising budget to high value items, allows us to grow profitably. In cases where advertising is fierce, we allocate spending appropriately. Our strategy for competing with larger competitors is to monitor their pricing and not compete with them when their pricing is low or at a loss. Competitors sell at low prices or at a loss due to a variety of reasons, including, but not limited to, their desire to liquidate inventory or achieve a short-term increase in revenue. During these times, we avoid matching their prices. This strategy allows us to stay profitable.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Tariff Impact and Response Measures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quarter of 2026, the global trade environment shifted significantly following the U.S. Supreme Court’s February 20, 2026 ruling that the International Emergency Economic Powers Act (“IEEPA”) does not authorize the imposition of tariffs, thereby invalidating the reciprocal tariff regime in place throughout 2025. Shortly thereafter, on February 24, 2026, President Donald Trump invoked Section 122 of the Trade Act of 1974, as amended, imposing a temporary 10% global import surcharge on most goods entering the United States for an initial period of 150 days. Concurrently, the suspension of the “de minimis” exemption for low-value shipments ($800 or less) remained in effect, requiring formal entry and duty payment on all parcels. On March 11, 2026, the Office of the U.S. Trade Representative initiated new Section 301 investigations into manufacturing overcapacity and forced labor across 16 economies, including China, which may result in additional, non-timebound tariff measures.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proactive inventory positioning in 2025 provided a temporary buffer during the early months of 2026. However, the Section 122 surcharge and the loss of de minimis treatment have materially increased landed costs and compliance requirements. In response, the Company has undertaken supply chain diversification initiatives, adjusted logistics and customs processes, and implemented selective price increases to mitigate margin pressure. We continue to monitor ongoing trade policy developments, including the potential outcomes of the Section 301 investigations, and remain prepared to adopt further pricing or sourcing adjustments to preserve supply chain continuity and financial resilience in this evolving regulatory environment.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Pricing Strategy and Policies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ideal world, we would like to price our products at key stone pricing or double wholesale cost. However, we operate in a hypercompetitive environment and we must stay competitive. Therefore, we must draw a good balance between gross margin and revenue. Our main objectives focus on increasing volume and maximizing profits, which is achieved with a customized auto pricing system we developed internally, in combination with well-trained business managers’ judgment on pricing skills, as well as constant monitoring. One principal feature of the pricing system is that it automatically syncs public data of competing offers from Amazon regularly, so business managers can set and adjust pricing based on accurate data, and thus be able to set optimal selling prices for products. In addition, the system is constantly improved with new features and optimizations.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high level, our automated pricing tool helps us stay competitive while our business managers mainly focus on increasing gross margins. Our proprietary repricing tool analyzes sales trends, projected sales, inventory age, inventory cost, potential profits, Fulfillment by Amazon (“FBA”) fees, competing offers, and seasonality and determines an urgency level. Then, depending on the level of urgency, it automatically adjusts prices accordingly.</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managers, after establishing the bases for prices, begin to develop pricing strategies for each product, while taking current market conditions and Company goals (e.g., increasing short-term or long-term profits) and strategies into consideration. Furthermore, business managers consider different marketing segments, such as costs and competition, in order to develop effective pricing strategies and policies.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subsections provide more insight into various pricing strategies we have developed over the years. Our internal training mainly focuses on competition-based and value-based pricing policies.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2"/>
        <w:gridCol w:w="999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Competition-Based Pricing Policy: </w:t>
            </w:r>
            <w:r>
              <w:rPr>
                <w:rFonts w:ascii="Times New Roman;Times;Serif" w:hAnsi="Times New Roman;Times;Serif"/>
                <w:b w:val="false"/>
                <w:i w:val="false"/>
                <w:caps w:val="false"/>
                <w:smallCaps w:val="false"/>
                <w:sz w:val="20"/>
              </w:rPr>
              <w:t>15% of our products are toys, which are extremely popular and competitive. In this type of environment, where volume is high but gross margin is low, our main strategy is to purchase large quantities, so we can increase sales volume and price competitively while maintaining an average return on investment (“ROI”) of at least 15%. We use the competition-based pricing policy to match competitors’ prices, which means constantly winning Buy Box (as described below). Our pricing system is capable of automatically matching all Buy Box.</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Promotional Pricing Policy: </w:t>
            </w:r>
            <w:r>
              <w:rPr>
                <w:rFonts w:ascii="Times New Roman;Times;Serif" w:hAnsi="Times New Roman;Times;Serif"/>
                <w:b w:val="false"/>
                <w:i w:val="false"/>
                <w:caps w:val="false"/>
                <w:smallCaps w:val="false"/>
                <w:sz w:val="20"/>
              </w:rPr>
              <w:t>To boost lagging sales, we adapted our own promotional pricing policy, which involves offering modest discounts on products with inventory age over 45 days, which proves to be cost-effective at reducing the number of low turn-over SKUs.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Value-Based Pricing Policy:</w:t>
            </w:r>
            <w:r>
              <w:rPr>
                <w:rFonts w:ascii="Times New Roman;Times;Serif" w:hAnsi="Times New Roman;Times;Serif"/>
                <w:b w:val="false"/>
                <w:i w:val="false"/>
                <w:caps w:val="false"/>
                <w:smallCaps w:val="false"/>
                <w:sz w:val="20"/>
              </w:rPr>
              <w:t xml:space="preserve"> We incorporate a value-based pricing strategy when inventories are constrained, which can happen when customer demand suddenly spikes due to external factors, supply shortage, or seasonal spikes. We set prices to reflect the value perceived by customers, especially on products under gift categories when consumer demands are higher. Contrary to a typical seller, we opt to maintain high gross margin instead of marking down prices and running special deals during the high-demand season during the fourth quarter. Therefore, business managers can achieve increases in both sales and high average ROI of 40%.</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Buy Box on </w:t>
      </w:r>
      <w:r>
        <w:rPr>
          <w:rFonts w:ascii="Times New Roman;Times;Serif" w:hAnsi="Times New Roman;Times;Serif"/>
          <w:b w:val="false"/>
          <w:i/>
          <w:caps w:val="false"/>
          <w:smallCaps w:val="false"/>
          <w:sz w:val="20"/>
        </w:rPr>
        <w:t>amazon.com</w:t>
      </w:r>
      <w:r>
        <w:rPr>
          <w:rFonts w:ascii="Times New Roman;Times;Serif" w:hAnsi="Times New Roman;Times;Serif"/>
          <w:b w:val="false"/>
          <w:i w:val="false"/>
          <w:caps w:val="false"/>
          <w:smallCaps w:val="false"/>
          <w:sz w:val="20"/>
        </w:rPr>
        <w:t xml:space="preserve"> is the top right section on a product page where customers can directly add items to their shopping carts. Since many sellers on Amazon can sell the same product, they must compete to “win the Buy Box” for a certain product. Winning the Amazon Buy Box simply means that you were chosen for the Buy Box placement. When you win this placement, customers have a button to directly add your product to their carts, giving you an advantage over competing sellers. For a seller to be eligible for the Buy Box, they must meet a set of performance-based requirements, including order defect rate, customer shopping experience, time and experience on the Amazon selling platform, and status as a professional seller.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in 2026, the Company also faced additional cost pressures from Amazon’s labeling service discontinuation and changes to the commingled inventory policy. Prior to 2026, the Company contracted with Amazon to provide labeling and packaging (such as polybagging and bubble wrapping) services for the Company. Effective January 1, 2026, Amazon ceased providing these services for its sellers. Accordingly, sellers, including the Company, are now responsible for all inventory preparation prior to delivery at Amazon fulfillment centers. In response, the Company has, among other things, (i) engaged external fulfillment partners to manage labeling and preparation, resulting in an incremental increase in variable fulfillment costs per unit; and (ii) integrated FNSKU labeling and Amazon-compliant packaging directly into the manufacturing process at the source, which resulted in increases to cost of revenues and selling and marketing expenses. Labeling-related costs are expected to have an impact going forward. Although the impact is not considered material, the Company has disclosed the level of impact for transparency; however, the Company also successfully secured more advertising fund support and negotiated better vendor discounts. These measures helped offset rising costs and ensured that overall profitability remained stable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Addendum No. 7 to Lai Employment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15, 2026, the Company entered into Addendum No. 7 (the “Lai Addendum”) to Executive Employment Agreement, as amended, with Sam Lai (the “Lai Agreement”), the Company’s Chairman of the Board, Chief Executive Officer, interim Chief Financial Officer, and majority stockholder. Pursuant to the terms of the Lai Addendum, Mr. Lai’s 2026 bonus targets and payments were revised as follows: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grows its net profits (excluding taxes and executives’ bonuses) to at least $1,000,000 during the 2026 fiscal year, Mr. Lai will receive a bonus equal to 50% of Base Salary (as defined in the Lai Agreement).</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grows its net profits (excluding taxes and executives’ bonuses) to at least $2,000,000 during the 2026 fiscal year, Mr. Lai will receive a bonus equal to 100% of Base Salary.</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satisfaction of the above conditions will be determined at the end of the 2026 fiscal year. For the avoidance of doubt, only one of the above bonus amounts, if at all, will be payable.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terms of the Lai Addendum, Mr. Lai is entitled to receive a guaranteed bonus of $100,000 on December 22,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Addendum No. 7 to Yu Employment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on May 15, 2026, the Company entered into Addendum No. 7 (the “Yu Addendum”) to Executive Employment Agreement, as amended, with Sau Kuen (Maggie) Yu (the “Yu Agreement”), the Company’s Senior Vice President, Director and majority stockholder. Pursuant to the terms of the Yu Addendum, Ms. Yu’s 2026 bonus targets and payments were revised as follows: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grows its net profits (excluding taxes and executives’ bonuses) to at least $1,000,000 during the 2026 fiscal year, Ms. Yu will receive a bonus equal to 50% of Base Salary.</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both"/>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grows its net profits (excluding taxes and executives’ bonuses) to at least $2,000,000 during the 2026 fiscal year, Ms. Yu will receive a bonus equal to 100% of her Base Salary.</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satisfaction of the above conditions will be determined at the end of the 2026 fiscal year. For the avoidance of doubt, only one of the above bonus amounts, if at all, will be payable.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terms of the Yu Addendum, Ms. Yu is entitled to receive a guaranteed bonus of $100,000 on December 22,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Lai and Ms. Yu are husband and wife, and together, they beneficially own 33,363,314 shares of the Company’s common stock, representing approximately 94.8% of the voting power of the Company’s outstanding common stock, with each of Mr. Lai and Ms. Yu beneficially holding 33,363,314 shares of the Company’s common stock, as each of them is deemed to indirectly beneficially own the other’s 16,681,657 shares.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 Equity Issuances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Company issued 1,586 shares of Company common stock to each of Sam Lai, Maggie Yu, Michael Lenner, Alan Gao and Hillary Bui, with a fair market value of $1.8910 per share as compensation for the services as executives or directors of the Company pursuant to the terms of their respective Executive Employment Agreements or Director Agreements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Fourth Amendment to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the Company entered into the Fourth Amendment (the “Fourth Amendment”) to Loan Agreement by and among the Company, Sam Lai (the Company’s Chairman of the Board, Chief Executive Officer and Interim Chief Financial Officer and a significant stockholder of the Company) and Sau Kuen Yu (the Company’s Senior Vice President, a member of the Company’s Board of Directors and a significant stockholder of the Company). Pursuant to the terms of the Fourth Amendment, the Company agreed to repay the loan in the principal amount of $3,410,418 to Mr. Lai and Ms. Yu through monthly settlements of $200,000, commencing August 31, 2026. As amended by the Fourth Amendment, the loan matures on December 31, 2026 and bears interest at an annual rate of 4.75%. The parties also agreed to discuss quarterly and make reasonable efforts, subject to the Company’s normal cash reserve and expansion plan, if any, to explore the possibility of early or delayed repayments.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and 2025, we generated net revenues of $33,944,191 and $27,103,106, respectively, and reported net income of $1,051,685 and $1,177,001, respectively, and cash flow used in operating activities of $1,337,564 and $901,539,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and 2025, we generated net revenues of $63,874,533 and $52,940,196, respectively, and reported net income of $1,875,167 and $</w:t>
      </w:r>
      <w:r>
        <w:rPr>
          <w:rFonts w:ascii="Times New Roman;Times;Serif" w:hAnsi="Times New Roman;Times;Serif"/>
          <w:b w:val="false"/>
          <w:i w:val="false"/>
          <w:caps w:val="false"/>
          <w:smallCaps w:val="false"/>
          <w:sz w:val="20"/>
          <w:shd w:fill="FFFFFF" w:val="clear"/>
        </w:rPr>
        <w:t>1,831,518</w:t>
      </w:r>
      <w:r>
        <w:rPr>
          <w:rFonts w:ascii="Times New Roman;Times;Serif" w:hAnsi="Times New Roman;Times;Serif"/>
          <w:b w:val="false"/>
          <w:i w:val="false"/>
          <w:caps w:val="false"/>
          <w:smallCaps w:val="false"/>
          <w:sz w:val="20"/>
        </w:rPr>
        <w:t>, respectively, and cash flow used in operating activities of $3,556,564 and $925,430,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in our unaudited consolidated financial statements, as of June 30, 2026, we had retained earnings of $2,984,841.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a comparison of our unaudited income statements for the 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6245" w:type="dxa"/>
        <w:jc w:val="left"/>
        <w:tblInd w:w="0" w:type="dxa"/>
        <w:tblLayout w:type="fixed"/>
        <w:tblCellMar>
          <w:top w:w="0" w:type="dxa"/>
          <w:left w:w="0" w:type="dxa"/>
          <w:bottom w:w="0" w:type="dxa"/>
          <w:right w:w="0" w:type="dxa"/>
        </w:tblCellMar>
      </w:tblPr>
      <w:tblGrid>
        <w:gridCol w:w="3290"/>
        <w:gridCol w:w="60"/>
        <w:gridCol w:w="140"/>
        <w:gridCol w:w="1175"/>
        <w:gridCol w:w="95"/>
        <w:gridCol w:w="60"/>
        <w:gridCol w:w="140"/>
        <w:gridCol w:w="1175"/>
        <w:gridCol w:w="110"/>
      </w:tblGrid>
      <w:tr>
        <w:trPr/>
        <w:tc>
          <w:tcPr>
            <w:tcW w:w="32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pPr>
            <w:r>
              <w:rPr/>
              <w:t xml:space="preserve">Three Months Ended </w:t>
              <w:br/>
              <w:t>June 30,</w:t>
            </w:r>
          </w:p>
        </w:tc>
        <w:tc>
          <w:tcPr>
            <w:tcW w:w="11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Statement of Operations Data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Revenues,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33,944,191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27,103,106</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(15,976,053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(11,605,754</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both"/>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17,968,138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15,497,352</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16,683,752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13,876,501</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Income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1,284,386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1,620,851</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Total other (expenses)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(26,710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(38,170</w:t>
            </w:r>
          </w:p>
        </w:tc>
        <w:tc>
          <w:tcPr>
            <w:tcW w:w="110" w:type="dxa"/>
            <w:tcBorders/>
            <w:shd w:fill="CCEEFF" w:val="clear"/>
            <w:vAlign w:val="center"/>
          </w:tcPr>
          <w:p>
            <w:pPr>
              <w:pStyle w:val="TableContents"/>
              <w:bidi w:val="0"/>
              <w:spacing w:before="0" w:after="283"/>
              <w:jc w:val="left"/>
              <w:rPr/>
            </w:pPr>
            <w:r>
              <w:rPr/>
              <w:t>)</w:t>
            </w:r>
          </w:p>
        </w:tc>
      </w:tr>
      <w:tr>
        <w:trPr/>
        <w:tc>
          <w:tcPr>
            <w:tcW w:w="3290" w:type="dxa"/>
            <w:tcBorders/>
            <w:shd w:fill="FFFFFF" w:val="clear"/>
            <w:vAlign w:val="center"/>
          </w:tcPr>
          <w:p>
            <w:pPr>
              <w:pStyle w:val="TableContents"/>
              <w:bidi w:val="0"/>
              <w:spacing w:before="0" w:after="283"/>
              <w:jc w:val="both"/>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(205,991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(405,680</w:t>
            </w:r>
          </w:p>
        </w:tc>
        <w:tc>
          <w:tcPr>
            <w:tcW w:w="110" w:type="dxa"/>
            <w:tcBorders/>
            <w:shd w:fill="FFFFFF" w:val="clear"/>
            <w:vAlign w:val="center"/>
          </w:tcPr>
          <w:p>
            <w:pPr>
              <w:pStyle w:val="TableContents"/>
              <w:bidi w:val="0"/>
              <w:spacing w:before="0" w:after="283"/>
              <w:jc w:val="left"/>
              <w:rPr/>
            </w:pPr>
            <w:r>
              <w:rPr/>
              <w:t>)</w:t>
            </w:r>
          </w:p>
        </w:tc>
      </w:tr>
      <w:tr>
        <w:trPr/>
        <w:tc>
          <w:tcPr>
            <w:tcW w:w="3290" w:type="dxa"/>
            <w:tcBorders/>
            <w:shd w:fill="CCEEFF" w:val="clear"/>
            <w:vAlign w:val="center"/>
          </w:tcPr>
          <w:p>
            <w:pPr>
              <w:pStyle w:val="TableContents"/>
              <w:bidi w:val="0"/>
              <w:spacing w:before="0" w:after="283"/>
              <w:jc w:val="both"/>
              <w:rPr/>
            </w:pPr>
            <w:r>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1,051,685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1,177,001</w:t>
            </w:r>
          </w:p>
        </w:tc>
        <w:tc>
          <w:tcPr>
            <w:tcW w:w="110" w:type="dxa"/>
            <w:tcBorders/>
            <w:shd w:fill="CCEEFF" w:val="clear"/>
            <w:vAlign w:val="center"/>
          </w:tcPr>
          <w:p>
            <w:pPr>
              <w:pStyle w:val="TableContents"/>
              <w:bidi w:val="0"/>
              <w:spacing w:before="0" w:after="283"/>
              <w:jc w:val="left"/>
              <w:rPr/>
            </w:pPr>
            <w:r>
              <w:rPr/>
              <w:t> </w:t>
            </w:r>
          </w:p>
        </w:tc>
      </w:tr>
      <w:tr>
        <w:trPr/>
        <w:tc>
          <w:tcPr>
            <w:tcW w:w="3290" w:type="dxa"/>
            <w:tcBorders/>
            <w:shd w:fill="FFFFFF" w:val="clear"/>
            <w:vAlign w:val="center"/>
          </w:tcPr>
          <w:p>
            <w:pPr>
              <w:pStyle w:val="TableContents"/>
              <w:bidi w:val="0"/>
              <w:spacing w:before="0" w:after="283"/>
              <w:jc w:val="both"/>
              <w:rPr/>
            </w:pPr>
            <w:r>
              <w:rPr/>
              <w:t>Other comprehensive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3,959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154,939</w:t>
            </w:r>
          </w:p>
        </w:tc>
        <w:tc>
          <w:tcPr>
            <w:tcW w:w="110" w:type="dxa"/>
            <w:tcBorders/>
            <w:shd w:fill="FFFFFF" w:val="clear"/>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283"/>
              <w:jc w:val="both"/>
              <w:rPr/>
            </w:pPr>
            <w:r>
              <w:rPr/>
              <w:t>Total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1,055,644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1,331,940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335" w:type="dxa"/>
        <w:jc w:val="left"/>
        <w:tblInd w:w="0" w:type="dxa"/>
        <w:tblLayout w:type="fixed"/>
        <w:tblCellMar>
          <w:top w:w="0" w:type="dxa"/>
          <w:left w:w="0" w:type="dxa"/>
          <w:bottom w:w="0" w:type="dxa"/>
          <w:right w:w="0" w:type="dxa"/>
        </w:tblCellMar>
      </w:tblPr>
      <w:tblGrid>
        <w:gridCol w:w="3380"/>
        <w:gridCol w:w="60"/>
        <w:gridCol w:w="140"/>
        <w:gridCol w:w="1175"/>
        <w:gridCol w:w="95"/>
        <w:gridCol w:w="60"/>
        <w:gridCol w:w="140"/>
        <w:gridCol w:w="1175"/>
        <w:gridCol w:w="110"/>
      </w:tblGrid>
      <w:tr>
        <w:trPr/>
        <w:tc>
          <w:tcPr>
            <w:tcW w:w="33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85" w:type="dxa"/>
            <w:gridSpan w:val="6"/>
            <w:tcBorders>
              <w:bottom w:val="single" w:sz="8" w:space="0" w:color="000000"/>
            </w:tcBorders>
            <w:tcMar>
              <w:bottom w:w="28" w:type="dxa"/>
            </w:tcMar>
            <w:vAlign w:val="center"/>
          </w:tcPr>
          <w:p>
            <w:pPr>
              <w:pStyle w:val="TableContents"/>
              <w:bidi w:val="0"/>
              <w:spacing w:before="0" w:after="283"/>
              <w:jc w:val="center"/>
              <w:rPr/>
            </w:pPr>
            <w:r>
              <w:rPr/>
              <w:t xml:space="preserve">Six Months Ended </w:t>
              <w:br/>
              <w:t>June 30,</w:t>
            </w:r>
          </w:p>
        </w:tc>
        <w:tc>
          <w:tcPr>
            <w:tcW w:w="11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Statement of Operations Data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both"/>
              <w:rPr/>
            </w:pPr>
            <w:r>
              <w:rPr/>
              <w:t>Revenues,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63,874,533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52,940,196</w:t>
            </w:r>
          </w:p>
        </w:tc>
        <w:tc>
          <w:tcPr>
            <w:tcW w:w="11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(29,888,620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(23,297,546</w:t>
            </w:r>
          </w:p>
        </w:tc>
        <w:tc>
          <w:tcPr>
            <w:tcW w:w="110" w:type="dxa"/>
            <w:tcBorders/>
            <w:shd w:fill="CCEEFF" w:val="clear"/>
            <w:vAlign w:val="center"/>
          </w:tcPr>
          <w:p>
            <w:pPr>
              <w:pStyle w:val="TableContents"/>
              <w:bidi w:val="0"/>
              <w:spacing w:before="0" w:after="283"/>
              <w:jc w:val="left"/>
              <w:rPr/>
            </w:pPr>
            <w:r>
              <w:rPr/>
              <w:t>)</w:t>
            </w:r>
          </w:p>
        </w:tc>
      </w:tr>
      <w:tr>
        <w:trPr/>
        <w:tc>
          <w:tcPr>
            <w:tcW w:w="3380" w:type="dxa"/>
            <w:tcBorders/>
            <w:shd w:fill="FFFFFF" w:val="clear"/>
            <w:vAlign w:val="center"/>
          </w:tcPr>
          <w:p>
            <w:pPr>
              <w:pStyle w:val="TableContents"/>
              <w:bidi w:val="0"/>
              <w:spacing w:before="0" w:after="283"/>
              <w:jc w:val="both"/>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33,985,913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29,642,650</w:t>
            </w:r>
          </w:p>
        </w:tc>
        <w:tc>
          <w:tcPr>
            <w:tcW w:w="11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31,559,399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27,100,934</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both"/>
              <w:rPr/>
            </w:pPr>
            <w:r>
              <w:rPr/>
              <w:t>Income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2,426,514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2,541,716</w:t>
            </w:r>
          </w:p>
        </w:tc>
        <w:tc>
          <w:tcPr>
            <w:tcW w:w="11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Total other (expenses)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(35,698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(23,099</w:t>
            </w:r>
          </w:p>
        </w:tc>
        <w:tc>
          <w:tcPr>
            <w:tcW w:w="110" w:type="dxa"/>
            <w:tcBorders/>
            <w:shd w:fill="CCEEFF" w:val="clear"/>
            <w:vAlign w:val="center"/>
          </w:tcPr>
          <w:p>
            <w:pPr>
              <w:pStyle w:val="TableContents"/>
              <w:bidi w:val="0"/>
              <w:spacing w:before="0" w:after="283"/>
              <w:jc w:val="left"/>
              <w:rPr/>
            </w:pPr>
            <w:r>
              <w:rPr/>
              <w:t>)</w:t>
            </w:r>
          </w:p>
        </w:tc>
      </w:tr>
      <w:tr>
        <w:trPr/>
        <w:tc>
          <w:tcPr>
            <w:tcW w:w="3380" w:type="dxa"/>
            <w:tcBorders/>
            <w:shd w:fill="FFFFFF" w:val="clear"/>
            <w:vAlign w:val="center"/>
          </w:tcPr>
          <w:p>
            <w:pPr>
              <w:pStyle w:val="TableContents"/>
              <w:bidi w:val="0"/>
              <w:spacing w:before="0" w:after="283"/>
              <w:jc w:val="both"/>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(515,649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(687,099</w:t>
            </w:r>
          </w:p>
        </w:tc>
        <w:tc>
          <w:tcPr>
            <w:tcW w:w="110" w:type="dxa"/>
            <w:tcBorders/>
            <w:shd w:fill="FFFFFF" w:val="clear"/>
            <w:vAlign w:val="center"/>
          </w:tcPr>
          <w:p>
            <w:pPr>
              <w:pStyle w:val="TableContents"/>
              <w:bidi w:val="0"/>
              <w:spacing w:before="0" w:after="283"/>
              <w:jc w:val="left"/>
              <w:rPr/>
            </w:pPr>
            <w:r>
              <w:rPr/>
              <w:t>)</w:t>
            </w:r>
          </w:p>
        </w:tc>
      </w:tr>
      <w:tr>
        <w:trPr/>
        <w:tc>
          <w:tcPr>
            <w:tcW w:w="3380" w:type="dxa"/>
            <w:tcBorders/>
            <w:shd w:fill="CCEEFF" w:val="clear"/>
            <w:vAlign w:val="center"/>
          </w:tcPr>
          <w:p>
            <w:pPr>
              <w:pStyle w:val="TableContents"/>
              <w:bidi w:val="0"/>
              <w:spacing w:before="0" w:after="283"/>
              <w:jc w:val="both"/>
              <w:rPr/>
            </w:pPr>
            <w:r>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1,875,167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1,831,518</w:t>
            </w:r>
          </w:p>
        </w:tc>
        <w:tc>
          <w:tcPr>
            <w:tcW w:w="11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both"/>
              <w:rPr/>
            </w:pPr>
            <w:r>
              <w:rPr/>
              <w:t>Other comprehensive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(13,657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141,403</w:t>
            </w:r>
          </w:p>
        </w:tc>
        <w:tc>
          <w:tcPr>
            <w:tcW w:w="11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both"/>
              <w:rPr/>
            </w:pPr>
            <w:r>
              <w:rPr/>
              <w:t>Total 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1,861,510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1,972,921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three months ended June 30, 2026 compared to the three months ended June 30,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generated $33,944,191 in revenues, net in the three months ended June 30, 2026, as compared to $27,103,106 in revenues, net in the same period in 2025. This represents an increase in revenues, net of $6,841,085, or 25.2%. We attribute this increase to our continued growth and maturity in our operating model, despite an overall e-commerce traffic slowdown and intense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orders in the three months ended June 30, 2026 were approximately 1,497,189, as compared to 1,253,975 orders in the three months ended June 30, 2025, representing an increase of 19.4%. The growth in order volume was the primary driver of revenue expansion. In addition, the higher average order value contributed to revenue growth exceeding the pace of order growth. While competitive pricing strategies and promotional discounts moderated unit pricing, the combination of increased order volume and sustained customer engagement resulted in meaningful revenue gains.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three months ended June 30, 2026 totaled $15,976,053, as compared to $11,605,754 for the three months ended June 30, 2025. In the same period last year, the Company intentionally maintained a higher gross margin in response to tariff concerns by preserving lower-cost inventory and gradually adjusting retail prices to help customers adapt to higher price levels. Cost of revenues includes the cost of the merchandise sold and shipping costs, as well as estimated losses due to damage to goods. In 2026, Amazon implemented changes to its Fulfillment by Amazon (FBA) fee structure. Beginning January 15, 2026, fulfillment fees for certain product categories were adjusted, with increases for higher-priced standard-size items and reductions for select bulky items. In addition, effective April 17, 2026, Amazon introduced a 3.5% fuel and logistics surcharge applicable to FBA in the United States and Canada, as well as cross-border Remote Fulfillment programs. These changes, together with revised inventory and return handling policies, are expected to increase operating costs for sellers. The Company has assessed that the impact is not material; however, the level of impact has been disclosed for transparency.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for the three months ended June 30, 2026 totaled $16,683,752, representing a $2,807,251, or 20.2%, increase from the $13,876,501 of total operating expenses for the three months ended June 30, 2025. This change was primarily caused by an increase in selling and marketing expenses in line with the growth in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Other (Expenses)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expenses, net, for the three months ended June 30, 2026 was $26,710, compared to total other expenses, net, of $38,170 for the three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comprehensive income for the three months ended June 30, 2026 was $1,055,644, as compared to $1,331,940 for the three months ended June 30, 2025. The decrease in total comprehensive income was primarily attributable to lower income from operations for the three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six months ended June 30, 2026 compared to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generated $63,874,533 in revenues, net in the six months ended June 30, 2026, as compared to $52,940,196 in revenues, net in the same period in 2025. This represents an increase in revenues, net of $10,934,337, or 20.7%. We attribute this increase to our continued growth and maturity in our operating model, despite an overall e-commerce traffic slowdown and intense competition.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orders in the six months ended June 30, 2026 were approximately 2,856,283, as compared to 2,483,767 orders in the six months ended June 30, 2025, representing an increase of 15.0%. The growth in order volume was the primary driver of revenue expansion. In addition, the higher average order value contributed to revenue growth exceeding the pace of order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six months ended June 30, 2026 totaled $29,888,620, as compared to $23,297,546 for the six months ended June 30, 2025. The increase was in line with the growth in revenues and also reflects the changes to Amazon’s FBA fee structure and the fuel and logistics surcharge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for the six months ended June 30, 2026 totaled $31,559,399, representing a $4,458,465, or 16.5%, increase from the $27,100,934 of total operating expenses for the six months ended June 30, 2025. This change was primarily caused by an increase in selling and marketing expenses in line with the growth in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Other (Expenses)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expenses, net, for the six months ended June 30, 2026 was $35,698, compared to total other expenses, net, of $23,099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comprehensive income for the six months ended June 30, 2026 was $1,861,510, as compared to $1,972,921 for the six months ended June 30, 2025. The decrease in total comprehensive income was primarily attributable to the foreign currency translation adjustments, which reflected a loss of $13,657 for the six months ended June 30, 2026, compared to a gain of $141,403 for the six months ended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is the ability of an enterprise to generate adequate amounts of cash to meet its needs for cash requirements. We had cash of $985,404 and $3,792,033 as of June 30, 2026 and December 31,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uses of cash have been for inventory, payments to Amazon related to sales and shipping of products, for services provided, payments for marketing and advertising, and salaries paid to our employees. We have received funds from the sales of products that we sell online. The following trends are reasonably likely to result in changes in our liquidity over the near- to long-term:</w:t>
      </w:r>
    </w:p>
    <w:p>
      <w:pPr>
        <w:pStyle w:val="TextBody"/>
        <w:bidi w:val="0"/>
        <w:spacing w:before="0" w:after="0"/>
        <w:ind w:left="0" w:right="0" w:hanging="0"/>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75"/>
        <w:gridCol w:w="170"/>
        <w:gridCol w:w="95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working capital requirements to finance the rapid growth in our current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5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fees paid to Amazon and other partners as our sales grow;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5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being a public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5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Marketing and advertising expenses for attracting new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5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requirements for the development of additional infrastructure;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5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costs and inventory carrying requirements associated with import tariffs and global trade policy uncertainty.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liquidity from the profitability of our ongoing business, and from debt to fund our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a summary of our cash flows for the six months ended June 30, 2026 and 2025.</w:t>
      </w:r>
    </w:p>
    <w:p>
      <w:pPr>
        <w:pStyle w:val="TextBody"/>
        <w:bidi w:val="0"/>
        <w:spacing w:before="0" w:after="0"/>
        <w:ind w:left="0" w:right="0" w:hanging="0"/>
        <w:jc w:val="both"/>
        <w:rPr>
          <w:caps w:val="false"/>
          <w:smallCaps w:val="false"/>
        </w:rPr>
      </w:pPr>
      <w:r>
        <w:rPr>
          <w:caps w:val="false"/>
          <w:smallCaps w:val="false"/>
        </w:rPr>
        <w:t> </w:t>
      </w:r>
    </w:p>
    <w:tbl>
      <w:tblPr>
        <w:tblW w:w="7715" w:type="dxa"/>
        <w:jc w:val="left"/>
        <w:tblInd w:w="0" w:type="dxa"/>
        <w:tblLayout w:type="fixed"/>
        <w:tblCellMar>
          <w:top w:w="0" w:type="dxa"/>
          <w:left w:w="0" w:type="dxa"/>
          <w:bottom w:w="0" w:type="dxa"/>
          <w:right w:w="0" w:type="dxa"/>
        </w:tblCellMar>
      </w:tblPr>
      <w:tblGrid>
        <w:gridCol w:w="5000"/>
        <w:gridCol w:w="60"/>
        <w:gridCol w:w="140"/>
        <w:gridCol w:w="1055"/>
        <w:gridCol w:w="95"/>
        <w:gridCol w:w="60"/>
        <w:gridCol w:w="140"/>
        <w:gridCol w:w="1055"/>
        <w:gridCol w:w="110"/>
      </w:tblGrid>
      <w:tr>
        <w:trPr/>
        <w:tc>
          <w:tcPr>
            <w:tcW w:w="50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spacing w:before="0" w:after="283"/>
              <w:jc w:val="center"/>
              <w:rPr/>
            </w:pPr>
            <w:r>
              <w:rPr/>
              <w:t xml:space="preserve">Six Months Ended </w:t>
              <w:br/>
              <w:t>June 30,</w:t>
            </w:r>
          </w:p>
        </w:tc>
        <w:tc>
          <w:tcPr>
            <w:tcW w:w="110"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pPr>
            <w:r>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11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both"/>
              <w:rPr/>
            </w:pPr>
            <w:r>
              <w:rPr/>
              <w:t>Statement of Cash Flows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both"/>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055" w:type="dxa"/>
            <w:tcBorders/>
            <w:shd w:fill="FFFFFF" w:val="clear"/>
            <w:vAlign w:val="center"/>
          </w:tcPr>
          <w:p>
            <w:pPr>
              <w:pStyle w:val="TableContents"/>
              <w:bidi w:val="0"/>
              <w:spacing w:before="0" w:after="283"/>
              <w:jc w:val="right"/>
              <w:rPr/>
            </w:pPr>
            <w:r>
              <w:rPr/>
              <w:t>(3,556,564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(925,430</w:t>
            </w:r>
          </w:p>
        </w:tc>
        <w:tc>
          <w:tcPr>
            <w:tcW w:w="110" w:type="dxa"/>
            <w:tcBorders/>
            <w:shd w:fill="FFFFFF" w:val="clear"/>
            <w:vAlign w:val="center"/>
          </w:tcPr>
          <w:p>
            <w:pPr>
              <w:pStyle w:val="TableContents"/>
              <w:bidi w:val="0"/>
              <w:spacing w:before="0" w:after="283"/>
              <w:jc w:val="left"/>
              <w:rPr/>
            </w:pPr>
            <w:r>
              <w:rPr/>
              <w:t>)</w:t>
            </w:r>
          </w:p>
        </w:tc>
      </w:tr>
      <w:tr>
        <w:trPr/>
        <w:tc>
          <w:tcPr>
            <w:tcW w:w="5000" w:type="dxa"/>
            <w:tcBorders/>
            <w:shd w:fill="CCEEFF" w:val="clear"/>
            <w:vAlign w:val="center"/>
          </w:tcPr>
          <w:p>
            <w:pPr>
              <w:pStyle w:val="TableContents"/>
              <w:bidi w:val="0"/>
              <w:spacing w:before="0" w:after="283"/>
              <w:jc w:val="both"/>
              <w:rPr/>
            </w:pPr>
            <w:r>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55" w:type="dxa"/>
            <w:tcBorders/>
            <w:shd w:fill="CCEEFF" w:val="clear"/>
            <w:vAlign w:val="center"/>
          </w:tcPr>
          <w:p>
            <w:pPr>
              <w:pStyle w:val="TableContents"/>
              <w:bidi w:val="0"/>
              <w:spacing w:before="0" w:after="283"/>
              <w:jc w:val="right"/>
              <w:rPr/>
            </w:pPr>
            <w:r>
              <w:rPr/>
              <w:t>(5,705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(801</w:t>
            </w:r>
          </w:p>
        </w:tc>
        <w:tc>
          <w:tcPr>
            <w:tcW w:w="110" w:type="dxa"/>
            <w:tcBorders/>
            <w:shd w:fill="CCEEFF" w:val="clear"/>
            <w:vAlign w:val="center"/>
          </w:tcPr>
          <w:p>
            <w:pPr>
              <w:pStyle w:val="TableContents"/>
              <w:bidi w:val="0"/>
              <w:spacing w:before="0" w:after="283"/>
              <w:jc w:val="left"/>
              <w:rPr/>
            </w:pPr>
            <w:r>
              <w:rPr/>
              <w:t>)</w:t>
            </w:r>
          </w:p>
        </w:tc>
      </w:tr>
      <w:tr>
        <w:trPr/>
        <w:tc>
          <w:tcPr>
            <w:tcW w:w="5000" w:type="dxa"/>
            <w:tcBorders/>
            <w:shd w:fill="FFFFFF" w:val="clear"/>
            <w:vAlign w:val="center"/>
          </w:tcPr>
          <w:p>
            <w:pPr>
              <w:pStyle w:val="TableContents"/>
              <w:bidi w:val="0"/>
              <w:spacing w:before="0" w:after="283"/>
              <w:jc w:val="both"/>
              <w:rPr/>
            </w:pPr>
            <w:r>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055" w:type="dxa"/>
            <w:tcBorders/>
            <w:shd w:fill="FFFFFF" w:val="clear"/>
            <w:vAlign w:val="center"/>
          </w:tcPr>
          <w:p>
            <w:pPr>
              <w:pStyle w:val="TableContents"/>
              <w:bidi w:val="0"/>
              <w:spacing w:before="0" w:after="283"/>
              <w:jc w:val="right"/>
              <w:rPr/>
            </w:pPr>
            <w:r>
              <w:rPr/>
              <w:t>750,000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(839,000</w:t>
            </w:r>
          </w:p>
        </w:tc>
        <w:tc>
          <w:tcPr>
            <w:tcW w:w="110" w:type="dxa"/>
            <w:tcBorders/>
            <w:shd w:fill="FFFFFF" w:val="clear"/>
            <w:vAlign w:val="center"/>
          </w:tcPr>
          <w:p>
            <w:pPr>
              <w:pStyle w:val="TableContents"/>
              <w:bidi w:val="0"/>
              <w:spacing w:before="0" w:after="283"/>
              <w:jc w:val="left"/>
              <w:rPr/>
            </w:pPr>
            <w:r>
              <w:rPr/>
              <w:t>)</w:t>
            </w:r>
          </w:p>
        </w:tc>
      </w:tr>
      <w:tr>
        <w:trPr/>
        <w:tc>
          <w:tcPr>
            <w:tcW w:w="5000" w:type="dxa"/>
            <w:tcBorders/>
            <w:shd w:fill="CCEEFF" w:val="clear"/>
            <w:vAlign w:val="center"/>
          </w:tcPr>
          <w:p>
            <w:pPr>
              <w:pStyle w:val="TableContents"/>
              <w:bidi w:val="0"/>
              <w:spacing w:before="0" w:after="283"/>
              <w:jc w:val="both"/>
              <w:rPr/>
            </w:pPr>
            <w:r>
              <w:rPr/>
              <w:t>Effect of changes in foreign currency exchange rates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5,640</w:t>
            </w:r>
          </w:p>
        </w:tc>
        <w:tc>
          <w:tcPr>
            <w:tcW w:w="9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(28,996</w:t>
            </w:r>
          </w:p>
        </w:tc>
        <w:tc>
          <w:tcPr>
            <w:tcW w:w="110" w:type="dxa"/>
            <w:tcBorders/>
            <w:shd w:fill="CCEEFF" w:val="clear"/>
            <w:vAlign w:val="center"/>
          </w:tcPr>
          <w:p>
            <w:pPr>
              <w:pStyle w:val="TableContents"/>
              <w:bidi w:val="0"/>
              <w:spacing w:before="0" w:after="283"/>
              <w:jc w:val="left"/>
              <w:rPr/>
            </w:pPr>
            <w:r>
              <w:rPr/>
              <w:t>)</w:t>
            </w:r>
          </w:p>
        </w:tc>
      </w:tr>
      <w:tr>
        <w:trPr/>
        <w:tc>
          <w:tcPr>
            <w:tcW w:w="5000" w:type="dxa"/>
            <w:tcBorders/>
            <w:shd w:fill="FFFFFF" w:val="clear"/>
            <w:vAlign w:val="center"/>
          </w:tcPr>
          <w:p>
            <w:pPr>
              <w:pStyle w:val="TableContents"/>
              <w:bidi w:val="0"/>
              <w:spacing w:before="0" w:after="283"/>
              <w:jc w:val="both"/>
              <w:rPr/>
            </w:pPr>
            <w:r>
              <w:rPr/>
              <w:t>Net decrease in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055" w:type="dxa"/>
            <w:tcBorders/>
            <w:shd w:fill="FFFFFF" w:val="clear"/>
            <w:vAlign w:val="center"/>
          </w:tcPr>
          <w:p>
            <w:pPr>
              <w:pStyle w:val="TableContents"/>
              <w:bidi w:val="0"/>
              <w:spacing w:before="0" w:after="283"/>
              <w:jc w:val="right"/>
              <w:rPr/>
            </w:pPr>
            <w:r>
              <w:rPr/>
              <w:t>(2,806,629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(1,794,227</w:t>
            </w:r>
          </w:p>
        </w:tc>
        <w:tc>
          <w:tcPr>
            <w:tcW w:w="110" w:type="dxa"/>
            <w:tcBorders/>
            <w:shd w:fill="FFFFFF" w:val="clear"/>
            <w:vAlign w:val="center"/>
          </w:tcPr>
          <w:p>
            <w:pPr>
              <w:pStyle w:val="TableContents"/>
              <w:bidi w:val="0"/>
              <w:spacing w:before="0" w:after="283"/>
              <w:jc w:val="left"/>
              <w:rPr/>
            </w:pPr>
            <w:r>
              <w:rPr/>
              <w:t>)</w:t>
            </w:r>
          </w:p>
        </w:tc>
      </w:tr>
      <w:tr>
        <w:trPr/>
        <w:tc>
          <w:tcPr>
            <w:tcW w:w="5000" w:type="dxa"/>
            <w:tcBorders/>
            <w:shd w:fill="CCEEFF" w:val="clear"/>
            <w:vAlign w:val="center"/>
          </w:tcPr>
          <w:p>
            <w:pPr>
              <w:pStyle w:val="TableContents"/>
              <w:bidi w:val="0"/>
              <w:spacing w:before="0" w:after="283"/>
              <w:jc w:val="both"/>
              <w:rPr/>
            </w:pPr>
            <w:r>
              <w:rPr/>
              <w:t>Cash - beginning of the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b/>
              </w:rPr>
            </w:pPr>
            <w:r>
              <w:rPr>
                <w:b/>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3,792,033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2,119,581</w:t>
            </w:r>
          </w:p>
        </w:tc>
        <w:tc>
          <w:tcPr>
            <w:tcW w:w="110"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283"/>
              <w:jc w:val="both"/>
              <w:rPr/>
            </w:pPr>
            <w:r>
              <w:rPr/>
              <w:t>Cash - end of the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985,404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325,354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used in operating activities amounted to $3,556,564, as compared to $925,430 of net cash used in operating activities for the six months ended June 30, 2025. The increase in net cash used in operating activities was primarily driven by higher inventory purchases during 2026 and an increase in accounts receivable resulting from changes in Amazon’s Disbursement Policy, under which daily remittances are now delayed by seven days. As part of our strategy to ensure product availability and mitigate supply chain risks under evolving trade policies and in light of discontinuation of Amazon’s labeling service, we invested more heavily in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increase in revenues to $63,874,533 for the six months ended June 30, 2026, as compared to $52,940,196 for the six months ended June 30, 2025, the increase in revenues was offset by a corresponding increase in cost of revenues of $6,591,074 and an increase in operating expenses of $4,458,465.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Used in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$5,705 in net cash was used in investing activities, compared to $801 in net cash used in investing activities for the six months ended June 30, 2025. The increase primarily reflects higher purchases of property and equipment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Provided by (Used in)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net cash provided by financing activities amounted to $750,000, as compared to net cash used in financing activities of $839,000 for the six months ended June 30, 2025. The net cash inflow for the six months ended June 30, 2026 was primarily due to advances of $1,634,000 received from related parties, partially offset by repayments of $884,000 made to related parties. The cash outflow for the six months ended June 30, 2025 was primarily due to repayments made to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Financing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we do not have any long-term capital lease obligations, operating lease obligations or long-term liabilities.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Taishin International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2022, Flywheel entered into a line of credit agreement in the amount of $6,940,063 with Taishin International Bank (“Taishin”). As amended, the line of credit matures on November 13, 2026 and bears interest at a rate of 3.42% per annum. As of June 30, 2026 and December 31, 2025, the outstanding balance under the Taishin line of credit was $628,931 and $637,348,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Affiliated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receive loans and advances from our stockholders to fund our operations. As of June 30, 2026, we had a total of $3,410,418 due to related parties, which included $3,410,418 in stockholder payables and $0 accrued for bonuses. As of December 31, 2025, we had a total of $3,810,418 due to related parties, which included $2,660,418 in stockholder payables and $1,150,000 accrued for bonuses. While stockholder payables are generally non-interest bearing and payable on demand, we and our stockholders have entered into loan agreements for loans with terms over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July 2021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2021, the Company, Mr. Lai and Ms. Yu entered into a loan agreement with a principal amount of $4,170,418. The loan is subordinated. As amended, the loan matures on December 31, 2026 and has an annual interest rate of 4.75%.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two operating leases (Flywheel has two office leases in Taiwan). The respective lease terms are June 10, 2025 to July 9, 2027, and December 1, 2025 to November 30, 2028, respectively.</w:t>
      </w:r>
    </w:p>
    <w:p>
      <w:pPr>
        <w:pStyle w:val="TextBody"/>
        <w:bidi w:val="0"/>
        <w:spacing w:before="0" w:after="0"/>
        <w:ind w:left="0" w:right="0" w:hanging="0"/>
        <w:jc w:val="both"/>
        <w:rPr>
          <w:caps w:val="false"/>
          <w:smallCaps w:val="false"/>
        </w:rPr>
      </w:pPr>
      <w:r>
        <w:rPr>
          <w:caps w:val="false"/>
          <w:smallCaps w:val="false"/>
        </w:rPr>
        <w:t> </w:t>
      </w:r>
    </w:p>
    <w:tbl>
      <w:tblPr>
        <w:tblW w:w="5975" w:type="dxa"/>
        <w:jc w:val="left"/>
        <w:tblInd w:w="0" w:type="dxa"/>
        <w:tblLayout w:type="fixed"/>
        <w:tblCellMar>
          <w:top w:w="0" w:type="dxa"/>
          <w:left w:w="0" w:type="dxa"/>
          <w:bottom w:w="28" w:type="dxa"/>
          <w:right w:w="0" w:type="dxa"/>
        </w:tblCellMar>
      </w:tblPr>
      <w:tblGrid>
        <w:gridCol w:w="4865"/>
        <w:gridCol w:w="60"/>
        <w:gridCol w:w="140"/>
        <w:gridCol w:w="800"/>
        <w:gridCol w:w="110"/>
      </w:tblGrid>
      <w:tr>
        <w:trPr/>
        <w:tc>
          <w:tcPr>
            <w:tcW w:w="4865" w:type="dxa"/>
            <w:tcBorders>
              <w:bottom w:val="single" w:sz="8" w:space="0" w:color="000000"/>
            </w:tcBorders>
            <w:vAlign w:val="center"/>
          </w:tcPr>
          <w:p>
            <w:pPr>
              <w:pStyle w:val="TableContents"/>
              <w:bidi w:val="0"/>
              <w:spacing w:before="0" w:after="283"/>
              <w:jc w:val="center"/>
              <w:rPr/>
            </w:pPr>
            <w:r>
              <w:rPr/>
              <w:t>For the Year Ending June 30,</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pPr>
            <w:r>
              <w:rPr/>
              <w:t>Amount</w:t>
            </w:r>
          </w:p>
        </w:tc>
        <w:tc>
          <w:tcPr>
            <w:tcW w:w="110" w:type="dxa"/>
            <w:tcBorders/>
            <w:tcMar>
              <w:bottom w:w="0" w:type="dxa"/>
            </w:tcMar>
            <w:vAlign w:val="center"/>
          </w:tcPr>
          <w:p>
            <w:pPr>
              <w:pStyle w:val="TableContents"/>
              <w:bidi w:val="0"/>
              <w:spacing w:before="0" w:after="283"/>
              <w:jc w:val="left"/>
              <w:rPr/>
            </w:pPr>
            <w:r>
              <w:rPr/>
              <w:t> </w:t>
            </w:r>
          </w:p>
        </w:tc>
      </w:tr>
      <w:tr>
        <w:trPr/>
        <w:tc>
          <w:tcPr>
            <w:tcW w:w="486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both"/>
              <w:rPr/>
            </w:pPr>
            <w:r>
              <w:rPr/>
              <w:t> </w:t>
            </w:r>
          </w:p>
        </w:tc>
        <w:tc>
          <w:tcPr>
            <w:tcW w:w="110" w:type="dxa"/>
            <w:tcBorders/>
            <w:tcMar>
              <w:bottom w:w="0" w:type="dxa"/>
            </w:tcMar>
            <w:vAlign w:val="center"/>
          </w:tcPr>
          <w:p>
            <w:pPr>
              <w:pStyle w:val="TableContents"/>
              <w:bidi w:val="0"/>
              <w:spacing w:before="0" w:after="283"/>
              <w:jc w:val="left"/>
              <w:rPr/>
            </w:pPr>
            <w:r>
              <w:rPr/>
              <w:t> </w:t>
            </w:r>
          </w:p>
        </w:tc>
      </w:tr>
      <w:tr>
        <w:trPr/>
        <w:tc>
          <w:tcPr>
            <w:tcW w:w="4865" w:type="dxa"/>
            <w:tcBorders/>
            <w:shd w:fill="CCEEFF" w:val="clear"/>
            <w:tcMar>
              <w:bottom w:w="0" w:type="dxa"/>
            </w:tcMar>
            <w:vAlign w:val="center"/>
          </w:tcPr>
          <w:p>
            <w:pPr>
              <w:pStyle w:val="TableContents"/>
              <w:bidi w:val="0"/>
              <w:spacing w:before="0" w:after="283"/>
              <w:jc w:val="center"/>
              <w:rPr/>
            </w:pPr>
            <w:r>
              <w:rPr/>
              <w:t>2026 (remainder)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46,397</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865" w:type="dxa"/>
            <w:tcBorders/>
            <w:shd w:fill="FFFFFF" w:val="clear"/>
            <w:tcMar>
              <w:bottom w:w="0" w:type="dxa"/>
            </w:tcMar>
            <w:vAlign w:val="center"/>
          </w:tcPr>
          <w:p>
            <w:pPr>
              <w:pStyle w:val="TableContents"/>
              <w:bidi w:val="0"/>
              <w:spacing w:before="0" w:after="283"/>
              <w:jc w:val="center"/>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60,520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865" w:type="dxa"/>
            <w:tcBorders/>
            <w:shd w:fill="CCEEFF" w:val="clear"/>
            <w:tcMar>
              <w:bottom w:w="0" w:type="dxa"/>
            </w:tcMar>
            <w:vAlign w:val="center"/>
          </w:tcPr>
          <w:p>
            <w:pPr>
              <w:pStyle w:val="TableContents"/>
              <w:bidi w:val="0"/>
              <w:spacing w:before="0" w:after="283"/>
              <w:jc w:val="center"/>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26,535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865" w:type="dxa"/>
            <w:tcBorders/>
            <w:shd w:fill="FFFFFF" w:val="clear"/>
            <w:tcMar>
              <w:bottom w:w="0" w:type="dxa"/>
            </w:tcMar>
            <w:vAlign w:val="center"/>
          </w:tcPr>
          <w:p>
            <w:pPr>
              <w:pStyle w:val="TableContents"/>
              <w:bidi w:val="0"/>
              <w:spacing w:before="0" w:after="283"/>
              <w:jc w:val="center"/>
              <w:rPr/>
            </w:pPr>
            <w:r>
              <w:rPr/>
              <w:t>2029 and 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865" w:type="dxa"/>
            <w:tcBorders/>
            <w:shd w:fill="CCEEFF" w:val="clear"/>
            <w:tcMar>
              <w:bottom w:w="0" w:type="dxa"/>
            </w:tcMar>
            <w:vAlign w:val="center"/>
          </w:tcPr>
          <w:p>
            <w:pPr>
              <w:pStyle w:val="TableContents"/>
              <w:bidi w:val="0"/>
              <w:spacing w:before="0" w:after="283"/>
              <w:jc w:val="both"/>
              <w:rPr/>
            </w:pPr>
            <w:r>
              <w:rPr/>
              <w:t>Total minimum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133,452</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865" w:type="dxa"/>
            <w:tcBorders/>
            <w:shd w:fill="FFFFFF" w:val="clear"/>
            <w:tcMar>
              <w:bottom w:w="0" w:type="dxa"/>
            </w:tcMar>
            <w:vAlign w:val="center"/>
          </w:tcPr>
          <w:p>
            <w:pPr>
              <w:pStyle w:val="TableContents"/>
              <w:bidi w:val="0"/>
              <w:spacing w:before="0" w:after="283"/>
              <w:jc w:val="both"/>
              <w:rPr/>
            </w:pPr>
            <w:r>
              <w:rPr/>
              <w:t>Less: effect of discounting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(3,953</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865" w:type="dxa"/>
            <w:tcBorders/>
            <w:shd w:fill="CCEEFF" w:val="clear"/>
            <w:tcMar>
              <w:bottom w:w="0" w:type="dxa"/>
            </w:tcMar>
            <w:vAlign w:val="center"/>
          </w:tcPr>
          <w:p>
            <w:pPr>
              <w:pStyle w:val="TableContents"/>
              <w:bidi w:val="0"/>
              <w:spacing w:before="0" w:after="283"/>
              <w:jc w:val="both"/>
              <w:rPr/>
            </w:pPr>
            <w:r>
              <w:rPr/>
              <w:t>Present value of the future minimum lease payment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129,499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865" w:type="dxa"/>
            <w:tcBorders/>
            <w:shd w:fill="FFFFFF" w:val="clear"/>
            <w:tcMar>
              <w:bottom w:w="0" w:type="dxa"/>
            </w:tcMar>
            <w:vAlign w:val="center"/>
          </w:tcPr>
          <w:p>
            <w:pPr>
              <w:pStyle w:val="TableContents"/>
              <w:bidi w:val="0"/>
              <w:spacing w:before="0" w:after="283"/>
              <w:jc w:val="both"/>
              <w:rPr/>
            </w:pPr>
            <w:r>
              <w:rPr/>
              <w:t>Less: operating lease liabilities-current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(91,142</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865" w:type="dxa"/>
            <w:tcBorders/>
            <w:shd w:fill="CCEEFF" w:val="clear"/>
            <w:tcMar>
              <w:bottom w:w="0" w:type="dxa"/>
            </w:tcMar>
            <w:vAlign w:val="center"/>
          </w:tcPr>
          <w:p>
            <w:pPr>
              <w:pStyle w:val="TableContents"/>
              <w:bidi w:val="0"/>
              <w:spacing w:before="0" w:after="283"/>
              <w:jc w:val="both"/>
              <w:rPr/>
            </w:pPr>
            <w:r>
              <w:rPr/>
              <w:t>Total operating lease liabilities-non-current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w:t>
            </w:r>
          </w:p>
        </w:tc>
        <w:tc>
          <w:tcPr>
            <w:tcW w:w="800" w:type="dxa"/>
            <w:tcBorders>
              <w:bottom w:val="single" w:sz="8" w:space="0" w:color="000000"/>
            </w:tcBorders>
            <w:shd w:fill="CCEEFF" w:val="clear"/>
            <w:vAlign w:val="center"/>
          </w:tcPr>
          <w:p>
            <w:pPr>
              <w:pStyle w:val="TableContents"/>
              <w:bidi w:val="0"/>
              <w:spacing w:before="0" w:after="283"/>
              <w:jc w:val="right"/>
              <w:rPr/>
            </w:pPr>
            <w:r>
              <w:rPr/>
              <w:t>38,357</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Use of Estimates</w:t>
      </w:r>
      <w:r>
        <w:rPr>
          <w:rFonts w:ascii="Times New Roman;Times;Serif" w:hAnsi="Times New Roman;Times;Serif"/>
          <w:b w:val="false"/>
          <w:i w:val="false"/>
          <w:caps w:val="false"/>
          <w:smallCaps w:val="false"/>
          <w:sz w:val="20"/>
        </w:rPr>
        <w:t xml:space="preserve"> - 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these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estimates include, but are not limited to, estimates associated with the collectability of accounts receivable, useful life of property and equipment, impairment of long-lived assets, valuation allowance for deferred tax assets, inventory valuation and inventory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and Cash Equivalents</w:t>
      </w:r>
      <w:r>
        <w:rPr>
          <w:rFonts w:ascii="Times New Roman;Times;Serif" w:hAnsi="Times New Roman;Times;Serif"/>
          <w:b w:val="false"/>
          <w:i w:val="false"/>
          <w:caps w:val="false"/>
          <w:smallCaps w:val="false"/>
          <w:sz w:val="20"/>
        </w:rPr>
        <w:t xml:space="preserve"> - The Company considers all highly liquid financial instruments purchased with original maturities of three months or less to be cash. The Company’s cash is held in the bank and covered by the Federal Deposit Insurance Corporation (“FDIC”), subject to applicable limits. Deposits are insured up to $250,000 per depositor, per FDIC-insured bank, per ownership category. Cash equivalents and marketable securities are comprised of time deposits, money market funds, highly liquid government bonds, corporate debt securities, mortgage-backed and asset-backed securities, and marketable equity securities. The Company’s cash and cash equivalents primarily consisted of cash and money market funds. Such amounts are recorded at fair value.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Accounts Receivable and Allowance for Credit Losses</w:t>
      </w:r>
      <w:r>
        <w:rPr>
          <w:rFonts w:ascii="Times New Roman;Times;Serif" w:hAnsi="Times New Roman;Times;Serif"/>
          <w:b w:val="false"/>
          <w:i w:val="false"/>
          <w:caps w:val="false"/>
          <w:smallCaps w:val="false"/>
          <w:sz w:val="20"/>
        </w:rPr>
        <w:t xml:space="preserve"> - Accounts receivable are stated at historical cost less allowance for credit loss. On a periodic basis, management evaluates its accounts receivable and determines whether to provide an allowance for credit losses in accordance with the Financial Accounting Standards Board’s (“FASB”) Accounting Standards Codification (“ASC”) Topic 326. Credit losses are provided based on a past history of write-offs, collections, current credit conditions, current economic conditions, reasonable and supportable forecasts of future economic conditions. The evaluation is performed on a collective basis where similar characteristics exist, primarily based on similar services or products offerings. The Company adopted the standard effective January 1, 2023. The impact of the adoption was not considered material to the financial statements and primarily resulted in new/enhanced disclosures only. A receivable is considered past due if the Company has not received payments based on agreed-upon terms. The Company generally does not require any security or collateral to support its receivables. The collection is primarily through Amazon and the collection period is usually less than seven days. The Company performs on-going evaluations of its customers and maintains an allowance for credit losses as the Company deems necessary or appropriate. As of June 30, 2026 and December 31, 2025, the Company did not deem it necessary to have an allowance for credit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Inventory and Cost of Goods Sold</w:t>
      </w:r>
      <w:r>
        <w:rPr>
          <w:rFonts w:ascii="Times New Roman;Times;Serif" w:hAnsi="Times New Roman;Times;Serif"/>
          <w:b w:val="false"/>
          <w:i w:val="false"/>
          <w:caps w:val="false"/>
          <w:smallCaps w:val="false"/>
          <w:sz w:val="20"/>
        </w:rPr>
        <w:t xml:space="preserve"> - The Company’s inventory consists mainly of finished goods. Inventories are stated at the lower of cost or net realizable value. Cost is principally determined on a first-in-first-out basis. The Company’s costs include the amounts it pays manufacturers for product, tariffs and duties associated with transporting product across national borders, and freight costs associated with transporting the product from its manufacturers to its warehouses, as applicable. The merchandise with terms of FOB shipping point from vendors was recorded as the inventory-in-transit when inventory left the shipping dock of the vendors but not yet reached the receiving dock of the Company. Management continually evaluates its estimates and judgments including those related to merchandise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revenues” line item in the unaudited consolidated statements of operations is principally inventory sold to customers during the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Policy for inventory allowance: The Company writes down the cost of obsolete and slow-moving inventories to the estimated net realizable value, based on inventory obsolescence trends, historical experience, forecasted consumer demand and application of the specific identification method. As of June 30, 2026 and December 31, 2025, $370,981 and $447,841, respectively, were written down from the cost of inventories to their net realizable values. Full inventory allowance is recorded for the inventory SKU not sold for more than one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Property and Equipment</w:t>
      </w:r>
      <w:r>
        <w:rPr>
          <w:rFonts w:ascii="Times New Roman;Times;Serif" w:hAnsi="Times New Roman;Times;Serif"/>
          <w:b w:val="false"/>
          <w:i w:val="false"/>
          <w:caps w:val="false"/>
          <w:smallCaps w:val="false"/>
          <w:sz w:val="20"/>
        </w:rPr>
        <w:t xml:space="preserve"> - Property and equipment are recorded at cost and depreciated or amortized over the estimated useful life of the asset using the straight-line method. The Company elected to expense any individual property and equipment items under $2,500.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the Company’s property and equipment is computers, and the estimated useful life is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Impairment of Long-lived Assets</w:t>
      </w:r>
      <w:r>
        <w:rPr>
          <w:rFonts w:ascii="Times New Roman;Times;Serif" w:hAnsi="Times New Roman;Times;Serif"/>
          <w:b w:val="false"/>
          <w:i w:val="false"/>
          <w:caps w:val="false"/>
          <w:smallCaps w:val="false"/>
          <w:sz w:val="20"/>
        </w:rPr>
        <w:t>- In accordance with ASC 360-10-35-17, if the carrying amount of an asset or asset group (in use or under development) is evaluated and found not to be fully recoverable (the carrying amount exceeds the estimated gross, undiscounted cash flows from use and disposition), then an impairment loss must be recognized. The impairment loss is measured as the excess of the carrying amount over the asset’s (or asset group’s) fair value. The Company did not record any impairment charges for the 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Leases - </w:t>
      </w:r>
      <w:r>
        <w:rPr>
          <w:rFonts w:ascii="Times New Roman;Times;Serif" w:hAnsi="Times New Roman;Times;Serif"/>
          <w:b w:val="false"/>
          <w:i w:val="false"/>
          <w:caps w:val="false"/>
          <w:smallCaps w:val="false"/>
          <w:sz w:val="20"/>
        </w:rPr>
        <w:t>Leases are classified at lease commencement date as either a finance lease or an operating lease. A lease is a finance lease if it meets any of the following criteria: (a) the lease transfers ownership of the underlying asset to the lessee by the end of the lease term, (b) the lease grants the lessee an option to purchase the underlying asset that the lessee is reasonably certain to exercise, (c) the lease term is for the major part of the remaining economic life of the underlying asset, (d) the present value of the sum of the lease payments and any residual value guaranteed by the lessee that is not already reflected in the lease payments equals or exceeds substantially all of the fair value of the underlying asset or (e) the underlying asset is of such a specialized nature that it is expected to have no alternative use to the lessor at the end of the lease term. When none of the foregoing criteria is met, the lease shall be classified as an operating lease.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typically utilizes operating leases for its office space requirements. This means that the Company leases office space, categorizing the lease arrangement as an operating lease. Under this arrangement, the Company does not hold ownership of the leased assets but instead pays rent for the right to use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lessee, a lease is recognized as an operating lease right-of-use asset with a corresponding liability at lease commencement date. The lease liability is calculated at the present value of the lease payments not yet paid by using the lease term and discount rate determined at lease commencement. The operating lease right-of-use asset is calculated as the lease liability, increased by any initial direct costs, and prepaid lease payments, reduced by any lease incentives received before lease commencement. The operating lease right-of-use asset itself is amortized on a straight-line basis unless another systematic method better reflects how the underlying asset will be used by and benefits the lessee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Fair Value Measurement </w:t>
      </w:r>
      <w:r>
        <w:rPr>
          <w:rFonts w:ascii="Times New Roman;Times;Serif" w:hAnsi="Times New Roman;Times;Serif"/>
          <w:b w:val="false"/>
          <w:i w:val="false"/>
          <w:caps w:val="false"/>
          <w:smallCaps w:val="false"/>
          <w:sz w:val="20"/>
        </w:rPr>
        <w:t>- 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carrying amounts reported in the consolidated balance sheets for cash and cash equivalents, accounts receivable, accounts payable, due to related parties and short-term debt at fair value or cost, which approximates fair value because of the short period of time between the origination of such instruments and their expected realization and their current market rates of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Valuations based on quoted prices for identical assets and liabilities in active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8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Valuations based on unobservable inputs reflecting the Company’s own assumptions, consistent with reasonably available assumptions made by other market participants. These valuations require significant judgment.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Revenue Recognition</w:t>
      </w:r>
      <w:r>
        <w:rPr>
          <w:rFonts w:ascii="Times New Roman;Times;Serif" w:hAnsi="Times New Roman;Times;Serif"/>
          <w:b w:val="false"/>
          <w:i w:val="false"/>
          <w:caps w:val="false"/>
          <w:smallCaps w:val="false"/>
          <w:sz w:val="20"/>
        </w:rPr>
        <w:t xml:space="preserve"> - The Company accounts for revenues in accordance with ASC Topic 606, Revenue from Contracts with Customers. The Company adopted ASC Topic 606 as of January 1, 2019. The standard did not affect the Company’s consolidated financial position, or cash flows. There were no changes to the timing of revenue recognition as a result of the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revenues in accordance with ASC Topic 606, which provided a five-step model for recognizing revenue from contracts with customers as follows:</w:t>
      </w:r>
    </w:p>
    <w:p>
      <w:pPr>
        <w:pStyle w:val="TextBody"/>
        <w:bidi w:val="0"/>
        <w:spacing w:before="0" w:after="0"/>
        <w:ind w:left="0" w:right="0" w:hanging="0"/>
        <w:jc w:val="both"/>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75"/>
        <w:gridCol w:w="170"/>
        <w:gridCol w:w="62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contract with a customer.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 the performance obligations in the contract.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Determine the transaction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Allocate the transaction price to the performance obligations in the contract.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62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Recognize revenues when or as performance obligations are satisfied.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principal versus agent considerations to determine whether it is appropriate to record platform fees paid to Amazon as an expense or as a reduction of revenue. Platform fees are recorded as sales and distribution expenses and are not recorded as a reduction of revenues because the Company as principal owns and controls all the goods before they are transferred to the customer. The Company can, at any time, direct Amazon, similarly, other third-party logistics providers (“Logistics Providers”), to return the Company’s inventories to any location specified by the Company. It is the Company’s responsibility to make any returns made by customers directly to Logistics Providers and the Company retains the back-end inventory risk. Further, the Company is subject to credit risk (i.e., credit card chargebacks), establishes prices of its products, can determine who fulfills the goods to the customer (Amazon or the Company) and can limit quantities or stop selling the goods at any time. Based on these considerations, the Company is the principal in this arrangement.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derives its revenues from the sale of consumer products. The Company sells its products directly to consumers through online retail channels. The Company considers customer order confirmations to be a contract with the customer. For each contract, the promise to transfer products is identified as the sole performance obligation. Transaction prices are evaluated for potential refunds or adjustments, determining the net consideration expected. Revenues for the three and six months ended June 30, 2026 and 2025 were recognized at a point in time. Customer confirmations are executed at the time an order is placed through third-party online channels. For all of the Company’s sales and distribution channels, revenues are recognized when control of the product is transferred to the customer (i.e., when the Company’s performance obligation is satisfied), which typically occurs at shipment date. As a result, the Company has a present and unconditional right to payment and record the amount due from the customer in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can return products within 30 days after the products are delivered and estimated sales returns are calculated based on the expected returns. The rates of sales returns were 6.90% and 6.92% of gross sales for the six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offers price discounts on certain selected items to stimulate the sales of those items. Revenues are measured as the amount of consideration for which the Company expects to be entitled in exchange for transferring goods. Consistent with this policy, the Company reduces the amount of these discounts from the gross revenues to calculate the net revenues recorded on the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performance obligation, defined as the promise to transfer a distinct good, is the unit of account in ASC Topic 606. The Company treats shipping and handling as fulfillment activities, not separate performance obligations. Costs for shipping and handling were $13,887,211 and $11,659,356 for the six months ended June 30, 2026 and 2025, respectively, recorded as selling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Segment Information </w:t>
      </w:r>
      <w:r>
        <w:rPr>
          <w:rFonts w:ascii="Times New Roman;Times;Serif" w:hAnsi="Times New Roman;Times;Serif"/>
          <w:b w:val="false"/>
          <w:i w:val="false"/>
          <w:caps w:val="false"/>
          <w:smallCaps w:val="false"/>
          <w:sz w:val="20"/>
        </w:rPr>
        <w:t>– The Company has only one segment, which is online retail (e-commerce).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the “management approach” to determine reportable operating segments. The management approach considers the internal organization and reporting used by the Company’s chief operating decision maker (“CODM”) for making operating decisions and assessing performance as the source for determining the Company’s reportable segments. The Company’s CODM has been identified as the chief executive officer of the Company who reviews financial information of separate operating segments based on U.S. GAAP. The CODM now reviews results analyzed by customers. This analysis is only presented at the revenue level with no allocation of direct or indirect costs. Consequently, the Company has determined that it has only one operating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Income Taxes</w:t>
      </w:r>
      <w:r>
        <w:rPr>
          <w:rFonts w:ascii="Times New Roman;Times;Serif" w:hAnsi="Times New Roman;Times;Serif"/>
          <w:b w:val="false"/>
          <w:i w:val="false"/>
          <w:caps w:val="false"/>
          <w:smallCaps w:val="false"/>
          <w:sz w:val="20"/>
        </w:rPr>
        <w:t xml:space="preserve"> - Income tax expense includes U.S. (federal and state) and foreign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complied with state tax codes and regulations, including with respect to California franchise taxes. Management has evaluated its tax positions and has concluded that the Company had taken no uncertain tax positions that could require adjustment or disclosure in the financial statements to comply with provisions set forth in ASC Section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represent amounts available to reduce income taxes payable in future periods. Deferred tax assets are evaluated for future realization and reduced by a valuation allowance to the extent the Company believe they will not be realized. The Company considers many factors when assessing the likelihood of future realization of its deferred tax assets, including recent cumulative loss experience and expectations of future earnings, capital gains and investment in such jurisdiction, the carry-forward periods available to the Company’s for tax reporting purposes, and other relevant factors.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Presentation of Sales Taxes</w:t>
      </w:r>
      <w:r>
        <w:rPr>
          <w:rFonts w:ascii="Times New Roman;Times;Serif" w:hAnsi="Times New Roman;Times;Serif"/>
          <w:b w:val="false"/>
          <w:i w:val="false"/>
          <w:caps w:val="false"/>
          <w:smallCaps w:val="false"/>
          <w:sz w:val="20"/>
        </w:rPr>
        <w:t xml:space="preserve"> - Governmental authorities impose sales tax on all of the Company’s sales to nonexempt customers. The Company collects sales tax from customers and remits the entire amount to the governmental authorities. The Company’s accounting policy is to exclude the tax collected and remitted from revenues and 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Concentration of Credit Risks -</w:t>
      </w:r>
      <w:r>
        <w:rPr>
          <w:rFonts w:ascii="Times New Roman;Times;Serif" w:hAnsi="Times New Roman;Times;Serif"/>
          <w:b w:val="false"/>
          <w:i w:val="false"/>
          <w:caps w:val="false"/>
          <w:smallCaps w:val="false"/>
          <w:sz w:val="20"/>
        </w:rPr>
        <w:t xml:space="preserve"> Financial instruments that potentially subject the Company to concentrations of credit risk consist primarily of cash and cash equivalents and accounts receivable. The Company maintains cash and cash equivalents with various domestic and foreign financial institutions of high credit quality. The Company performs periodic evaluations of the relative credit standing of all of the aforementioned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reserves for potential credit losses on customer accounts when deemed necessary. Significant customers are those which represent more than 10% of the Company’s total net revenues or gross accounts receivable balance at the balance sheet date. During the three and six months ended June 30, 2026 and 2025, the Company had no customer that accounted for 10% or more of total net revenues. In addition, as of June 30, 2026 and December 31, 2025, the Company had no customer that accounted for 10% or more of gross accounts receivable. As of June 30, 2026 and December 31, 2025, all of the Company’s accounts receivable were held by the Company’s sales platform agent, Amazon, which collects money on the Company’s behalf from its customers. Therefore, the Company’s accounts receivable are comprised of receivables due from Amazon and the disbursement from Amazon to the Company usually takes approximately 14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is reliant on one key vendor which currently provides the Company with its sales platform, logistics and fulfillment operations, including certain warehousing for the Company’s net goods, and invoicing and collection of its revenues from the Company’s end customers. During the six months ended June 30, 2026 and 2025, approximately 97% and 99%, respectively, of the Company’s revenues were through or with the Amazon sales platform.</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Foreign Currency Exchange Risk</w:t>
      </w:r>
      <w:r>
        <w:rPr>
          <w:rFonts w:ascii="Times New Roman;Times;Serif" w:hAnsi="Times New Roman;Times;Serif"/>
          <w:b w:val="false"/>
          <w:i w:val="false"/>
          <w:caps w:val="false"/>
          <w:smallCaps w:val="false"/>
          <w:sz w:val="20"/>
        </w:rPr>
        <w:t xml:space="preserve"> - The Company is exposed to foreign currency exchange risk through its foreign subsidiary in Taiwan. The Company does not hedge foreign currency translation risk in the net assets and income reported from these 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Advertising and Promotion Expenses</w:t>
      </w:r>
      <w:r>
        <w:rPr>
          <w:rFonts w:ascii="Times New Roman;Times;Serif" w:hAnsi="Times New Roman;Times;Serif"/>
          <w:b w:val="false"/>
          <w:i w:val="false"/>
          <w:caps w:val="false"/>
          <w:smallCaps w:val="false"/>
          <w:sz w:val="20"/>
        </w:rPr>
        <w:t xml:space="preserve"> – The Company’s policy is to recognize advertising costs as they are incurred. Advertising and promotion expenses were $2,823,018 and $964,824 for the six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Commitments and Contingencies</w:t>
      </w:r>
      <w:r>
        <w:rPr>
          <w:rFonts w:ascii="Times New Roman;Times;Serif" w:hAnsi="Times New Roman;Times;Serif"/>
          <w:b w:val="false"/>
          <w:i w:val="false"/>
          <w:caps w:val="false"/>
          <w:smallCaps w:val="false"/>
          <w:sz w:val="20"/>
        </w:rPr>
        <w:t xml:space="preserve"> - Liabilities for loss contingencies arising from claims, assessments, litigation, fines, penalties, and other sources are recorded when it is probable that a liability has been incurred and the amount can be reasonably estimated. Legal costs incurred in connection with loss contingencies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Related Parties</w:t>
      </w:r>
      <w:r>
        <w:rPr>
          <w:rFonts w:ascii="Times New Roman;Times;Serif" w:hAnsi="Times New Roman;Times;Serif"/>
          <w:b w:val="false"/>
          <w:i w:val="false"/>
          <w:caps w:val="false"/>
          <w:smallCaps w:val="false"/>
          <w:sz w:val="20"/>
        </w:rPr>
        <w:t xml:space="preserve"> - The Company accounts for related party transactions in accordance with FASB ASC Topic 850 (Related Party Disclosures). A party is considered to be related to the Company if the party directly or indirectly or through one or more intermediaries, controls, is controlled by, or is under common control with the Company. Related parties also include principal owners of the Company, its management, members of the immediate families of principal owners of the Company and its management and other parties with which the Company may deal if one party controls or can significantly influence the management or operating policies of the other to an extent that one of the transacting parties might be prevented from fully pursuing its own separate interests. A party which can significantly influence the management or operating policies of the transacting parties or if it has an ownership interest in one of the transacting parties and can significantly influence the other to an extent that one or more of the transacting parties might be prevented from fully pursuing its own separate interests is also a related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Earnings per Share - </w:t>
      </w:r>
      <w:r>
        <w:rPr>
          <w:rFonts w:ascii="Times New Roman;Times;Serif" w:hAnsi="Times New Roman;Times;Serif"/>
          <w:b w:val="false"/>
          <w:i w:val="false"/>
          <w:caps w:val="false"/>
          <w:smallCaps w:val="false"/>
          <w:sz w:val="20"/>
        </w:rPr>
        <w:t>The Company computes basic earnings per common share using the weighted-average number of shares of common stock outstanding during the period. For the period in which the Company reports net losses, diluted net loss per share attributable to stockholders is the same as basic net loss per share attributable to stockholders, because potentially dilutive common shares are not assumed to have been issued if their effect is anti-dilutive. There were no dilutive securities or other items that would affect earnings per share for the three and six months ended June 30, 2026 and 2025. Therefore, the diluted earnings per share is the same as the basic earnings per share.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Shares Issued for Services</w:t>
      </w:r>
      <w:r>
        <w:rPr>
          <w:rFonts w:ascii="Times New Roman;Times;Serif" w:hAnsi="Times New Roman;Times;Serif"/>
          <w:b w:val="false"/>
          <w:i w:val="false"/>
          <w:caps w:val="false"/>
          <w:smallCaps w:val="false"/>
          <w:sz w:val="20"/>
        </w:rPr>
        <w:t xml:space="preserve"> – Stock-based compensation cost for all equity-classified stock awards expected to vest is measured at fair value on the date of grant and recognized over the service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9" w:name="sh_002"/>
      <w:bookmarkEnd w:id="609"/>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0" w:name="sh_003"/>
      <w:bookmarkEnd w:id="610"/>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chief executive officer and chief financial officer, the effectiveness of our disclosure controls and procedures as of June 30, 2026, pursuant to Rule 13a-15(b) under the Exchange Act. Based upon that evaluation, our chief executive officer and our chief financial officer concluded that, as of June 30, 2026, our disclosure controls and procedures were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11" w:name="sh_004"/>
      <w:bookmarkEnd w:id="611"/>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2" w:name="sh_005"/>
      <w:bookmarkEnd w:id="612"/>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are involved in various claims and legal actions arising in the ordinary course of business. To the knowledge of our management, there are no legal proceedings currently pending against us which we believe would have a material effect on our business, financial position or results of operations and, to the best of our knowledge, there are no such legal proceedings contemplated or threatened.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3" w:name="sh_006"/>
      <w:bookmarkEnd w:id="613"/>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disclose material changes to the risk factors that were contained in our Annual Report on Form 10-K for the year ended December 31, 2025, as updated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4" w:name="sh_007"/>
      <w:bookmarkEnd w:id="614"/>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Company issued 1,586 shares of Company common stock to each of Sam Lai, Maggie Yu, Michael Lenner, Alan Gao and Hillary Bui, with a fair market value of $1.8910 per share as compensation for the services as executives or directors of the Company pursuant to the terms of their respective Executive Employment Agreements or Director Agreements with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shares were issued pursuant to an exemption from the registration requirements of the Securities Act available to us by Section 4(a)(2)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5" w:name="sh_008"/>
      <w:bookmarkEnd w:id="615"/>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defaults in any material payments during the covered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6" w:name="sh_009"/>
      <w:bookmarkEnd w:id="616"/>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7" w:name="sh_010"/>
      <w:bookmarkEnd w:id="617"/>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August 10, 2026, the Company entered into the Fourth Amendment (the “Fourth Amendment”) to Loan Agreement by and among the Company, Sam Lai (the Company’s Chairman of the Board, Chief Executive Officer and Interim Chief Financial Officer and a significant stockholder of the Company) and Sau Kuen Yu (the Company’s Senior Vice President, a member of the Company’s Board of Directors and a significant stockholder of the Company). Pursuant to the terms of the Fourth Amendment, the Company agreed to repay the loan in the principal amount of $3,410,418 to Mr. Lai and Ms. Yu through monthly settlements of $200,000, commencing August 31, 2026. As amended by the Fourth Amendment, the loan matures on December 31, 2026 and bears interest at an annual rate of 4.75%. The parties also agreed to discuss quarterly and make reasonable efforts, subject to the Company’s normal cash reserve and expansion plan, if any, to explore the possibility of early or delayed repayments.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Fourth Amendment is qualified in its entirety by reference to the complete terms and conditions of the Fourth Amendment, a copy of which is filed as Exhibit 10.3 to this Quarterly Report on Form 10-Q, and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have been no material changes to the procedures by which security holders may recommend nominees to our Board of Directors since we last provided disclosure in response to the requirements of Item 407(c)(3)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During the registrant’s last fiscal quarter, no director or officer </w:t>
      </w:r>
      <w:bookmarkStart w:id="618" w:name="xdx_90B_eecd--NonRule10b51ArrAdoptedFlag"/>
      <w:bookmarkStart w:id="619" w:name="xdx_902_eecd--Rule10b51ArrAdoptedFlag_db"/>
      <w:bookmarkEnd w:id="618"/>
      <w:bookmarkEnd w:id="619"/>
      <w:r>
        <w:rPr>
          <w:rFonts w:ascii="Times New Roman;Times;Serif" w:hAnsi="Times New Roman;Times;Serif"/>
          <w:b w:val="false"/>
          <w:i w:val="false"/>
          <w:caps w:val="false"/>
          <w:smallCaps w:val="false"/>
          <w:sz w:val="20"/>
        </w:rPr>
        <w:t xml:space="preserve">adopted or </w:t>
      </w:r>
      <w:bookmarkStart w:id="620" w:name="xdx_904_eecd--NonRule10b51ArrTrmntdFlag_"/>
      <w:bookmarkStart w:id="621" w:name="xdx_908_eecd--Rule10b51ArrTrmntdFlag_dbF"/>
      <w:bookmarkEnd w:id="620"/>
      <w:bookmarkEnd w:id="621"/>
      <w:r>
        <w:rPr>
          <w:rFonts w:ascii="Times New Roman;Times;Serif" w:hAnsi="Times New Roman;Times;Serif"/>
          <w:b w:val="false"/>
          <w:i w:val="false"/>
          <w:caps w:val="false"/>
          <w:smallCaps w:val="false"/>
          <w:sz w:val="20"/>
        </w:rPr>
        <w:t>terminated: (i) any contract, instruction or written plan for the purchase or sale of securities of the registrant intended to satisfy the affirmative defense conditions of Rule 10b5-1(c) (a “Rule 10b5-1 trading arrangement”); and/or (ii) any “non-Rule 10b5-1 trading arrangement” as defined in Item 408(c) of Regulation S-K.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2" w:name="sh_011"/>
      <w:bookmarkEnd w:id="622"/>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03"/>
        <w:gridCol w:w="60"/>
        <w:gridCol w:w="9142"/>
      </w:tblGrid>
      <w:tr>
        <w:trPr/>
        <w:tc>
          <w:tcPr>
            <w:tcW w:w="1003"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42"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Document</w:t>
            </w:r>
          </w:p>
        </w:tc>
      </w:tr>
      <w:tr>
        <w:trPr/>
        <w:tc>
          <w:tcPr>
            <w:tcW w:w="100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42"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Addendum No. 7 to Executive Employment Agreement, dated as of May 15, 2026, between the registrant and Sam Lai (incorporated by reference to Exhibit 10.1 to the registrant’s Current Report on Form 8-K filed with the SEC on May 18, 2026).</w:t>
              </w:r>
            </w:hyperlink>
          </w:p>
        </w:tc>
      </w:tr>
      <w:tr>
        <w:trPr/>
        <w:tc>
          <w:tcPr>
            <w:tcW w:w="100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42"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Addendum No. 7 to Executive Employment Agreement, dated as of May 15, 2026, between the registrant and Sau Kuen Yu (incorporated by reference to Exhibit 10.2 to the registrant’s Current Report on Form 8-K filed with the SEC on May 18, 2026).</w:t>
              </w:r>
            </w:hyperlink>
          </w:p>
        </w:tc>
      </w:tr>
      <w:tr>
        <w:trPr/>
        <w:tc>
          <w:tcPr>
            <w:tcW w:w="100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42" w:type="dxa"/>
            <w:tcBorders/>
            <w:tcMar>
              <w:bottom w:w="0" w:type="dxa"/>
            </w:tcMar>
            <w:vAlign w:val="center"/>
          </w:tcPr>
          <w:p>
            <w:pPr>
              <w:pStyle w:val="TableContents"/>
              <w:bidi w:val="0"/>
              <w:spacing w:before="0" w:after="283"/>
              <w:jc w:val="both"/>
              <w:rPr/>
            </w:pPr>
            <w:hyperlink w:anchor="ex10-3.htm">
              <w:r>
                <w:rPr>
                  <w:rStyle w:val="InternetLink"/>
                  <w:rFonts w:ascii="Times New Roman;Times;Serif" w:hAnsi="Times New Roman;Times;Serif"/>
                  <w:b w:val="false"/>
                  <w:i w:val="false"/>
                  <w:caps w:val="false"/>
                  <w:smallCaps w:val="false"/>
                  <w:sz w:val="20"/>
                </w:rPr>
                <w:t>Fourth Amendment to Loan Agreement, dated August 10, 2026, by and among the registrant, Sam Lai and Sau Kuen Yu.</w:t>
              </w:r>
            </w:hyperlink>
          </w:p>
        </w:tc>
      </w:tr>
      <w:tr>
        <w:trPr/>
        <w:tc>
          <w:tcPr>
            <w:tcW w:w="100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42"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Rule 13a-14(a) Certification of Principal Executive Officer.</w:t>
              </w:r>
            </w:hyperlink>
          </w:p>
        </w:tc>
      </w:tr>
      <w:tr>
        <w:trPr/>
        <w:tc>
          <w:tcPr>
            <w:tcW w:w="100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42"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Rule 13a-14(a) Certification of Principal Financial Officer.</w:t>
              </w:r>
            </w:hyperlink>
          </w:p>
        </w:tc>
      </w:tr>
      <w:tr>
        <w:trPr/>
        <w:tc>
          <w:tcPr>
            <w:tcW w:w="100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42"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 of Principal Executive Officer and Principal Financial Officer.</w:t>
              </w:r>
            </w:hyperlink>
          </w:p>
        </w:tc>
      </w:tr>
      <w:tr>
        <w:trPr/>
        <w:tc>
          <w:tcPr>
            <w:tcW w:w="100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4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100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4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100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4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w:t>
            </w:r>
          </w:p>
        </w:tc>
      </w:tr>
      <w:tr>
        <w:trPr/>
        <w:tc>
          <w:tcPr>
            <w:tcW w:w="100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4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w:t>
            </w:r>
          </w:p>
        </w:tc>
      </w:tr>
      <w:tr>
        <w:trPr/>
        <w:tc>
          <w:tcPr>
            <w:tcW w:w="100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4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Labels Linkbase</w:t>
            </w:r>
          </w:p>
        </w:tc>
      </w:tr>
      <w:tr>
        <w:trPr/>
        <w:tc>
          <w:tcPr>
            <w:tcW w:w="100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4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w:t>
            </w:r>
          </w:p>
        </w:tc>
      </w:tr>
      <w:tr>
        <w:trPr/>
        <w:tc>
          <w:tcPr>
            <w:tcW w:w="1003"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14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245"/>
        <w:gridCol w:w="5105"/>
      </w:tblGrid>
      <w:tr>
        <w:trPr/>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51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contracts, compensation plans and arrangements.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23" w:name="sh_012"/>
      <w:bookmarkEnd w:id="623"/>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and Exchange Act of 1934, the registrant has caused this report to be signed on its behalf by the undersigned, thereto duly authorized.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7"/>
        <w:gridCol w:w="300"/>
        <w:gridCol w:w="8388"/>
      </w:tblGrid>
      <w:tr>
        <w:trPr/>
        <w:tc>
          <w:tcPr>
            <w:tcW w:w="1517" w:type="dxa"/>
            <w:tcBorders/>
            <w:vAlign w:val="center"/>
          </w:tcPr>
          <w:p>
            <w:pPr>
              <w:pStyle w:val="TableContents"/>
              <w:bidi w:val="0"/>
              <w:spacing w:before="0" w:after="283"/>
              <w:jc w:val="both"/>
              <w:rPr>
                <w:caps w:val="false"/>
                <w:smallCaps w:val="false"/>
              </w:rPr>
            </w:pPr>
            <w:r>
              <w:rPr>
                <w:caps w:val="false"/>
                <w:smallCaps w:val="false"/>
              </w:rPr>
              <w:t> </w:t>
            </w:r>
          </w:p>
        </w:tc>
        <w:tc>
          <w:tcPr>
            <w:tcW w:w="8688"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HOUR LOOP, INC.</w:t>
            </w:r>
          </w:p>
        </w:tc>
      </w:tr>
      <w:tr>
        <w:trPr/>
        <w:tc>
          <w:tcPr>
            <w:tcW w:w="1517" w:type="dxa"/>
            <w:tcBorders/>
            <w:vAlign w:val="center"/>
          </w:tcPr>
          <w:p>
            <w:pPr>
              <w:pStyle w:val="TableContents"/>
              <w:bidi w:val="0"/>
              <w:spacing w:before="0" w:after="283"/>
              <w:jc w:val="both"/>
              <w:rPr>
                <w:caps w:val="false"/>
                <w:smallCaps w:val="false"/>
              </w:rPr>
            </w:pPr>
            <w:r>
              <w:rPr>
                <w:caps w:val="false"/>
                <w:smallCaps w:val="false"/>
              </w:rPr>
              <w:t> </w:t>
            </w:r>
          </w:p>
        </w:tc>
        <w:tc>
          <w:tcPr>
            <w:tcW w:w="300" w:type="dxa"/>
            <w:tcBorders/>
            <w:vAlign w:val="center"/>
          </w:tcPr>
          <w:p>
            <w:pPr>
              <w:pStyle w:val="TableContents"/>
              <w:bidi w:val="0"/>
              <w:spacing w:before="0" w:after="283"/>
              <w:jc w:val="both"/>
              <w:rPr>
                <w:caps w:val="false"/>
                <w:smallCaps w:val="false"/>
              </w:rPr>
            </w:pPr>
            <w:r>
              <w:rPr>
                <w:caps w:val="false"/>
                <w:smallCaps w:val="false"/>
              </w:rPr>
              <w:t> </w:t>
            </w:r>
          </w:p>
        </w:tc>
        <w:tc>
          <w:tcPr>
            <w:tcW w:w="838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1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11, 2026</w:t>
            </w:r>
          </w:p>
        </w:tc>
        <w:tc>
          <w:tcPr>
            <w:tcW w:w="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8388"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Sam Lai</w:t>
            </w:r>
          </w:p>
        </w:tc>
      </w:tr>
      <w:tr>
        <w:trPr/>
        <w:tc>
          <w:tcPr>
            <w:tcW w:w="1517" w:type="dxa"/>
            <w:tcBorders/>
            <w:vAlign w:val="center"/>
          </w:tcPr>
          <w:p>
            <w:pPr>
              <w:pStyle w:val="TableContents"/>
              <w:bidi w:val="0"/>
              <w:spacing w:before="0" w:after="283"/>
              <w:jc w:val="both"/>
              <w:rPr>
                <w:caps w:val="false"/>
                <w:smallCaps w:val="false"/>
              </w:rPr>
            </w:pPr>
            <w:r>
              <w:rPr>
                <w:caps w:val="false"/>
                <w:smallCaps w:val="false"/>
              </w:rPr>
              <w:t> </w:t>
            </w:r>
          </w:p>
        </w:tc>
        <w:tc>
          <w:tcPr>
            <w:tcW w:w="300" w:type="dxa"/>
            <w:tcBorders/>
            <w:vAlign w:val="center"/>
          </w:tcPr>
          <w:p>
            <w:pPr>
              <w:pStyle w:val="TableContents"/>
              <w:bidi w:val="0"/>
              <w:spacing w:before="0" w:after="283"/>
              <w:jc w:val="both"/>
              <w:rPr>
                <w:caps w:val="false"/>
                <w:smallCaps w:val="false"/>
              </w:rPr>
            </w:pPr>
            <w:r>
              <w:rPr>
                <w:caps w:val="false"/>
                <w:smallCaps w:val="false"/>
              </w:rPr>
              <w:t> </w:t>
            </w:r>
          </w:p>
        </w:tc>
        <w:tc>
          <w:tcPr>
            <w:tcW w:w="83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Lai</w:t>
            </w:r>
          </w:p>
        </w:tc>
      </w:tr>
      <w:tr>
        <w:trPr/>
        <w:tc>
          <w:tcPr>
            <w:tcW w:w="1517" w:type="dxa"/>
            <w:tcBorders/>
            <w:vAlign w:val="center"/>
          </w:tcPr>
          <w:p>
            <w:pPr>
              <w:pStyle w:val="TableContents"/>
              <w:bidi w:val="0"/>
              <w:spacing w:before="0" w:after="283"/>
              <w:jc w:val="both"/>
              <w:rPr>
                <w:caps w:val="false"/>
                <w:smallCaps w:val="false"/>
              </w:rPr>
            </w:pPr>
            <w:r>
              <w:rPr>
                <w:caps w:val="false"/>
                <w:smallCaps w:val="false"/>
              </w:rPr>
              <w:t> </w:t>
            </w:r>
          </w:p>
        </w:tc>
        <w:tc>
          <w:tcPr>
            <w:tcW w:w="300" w:type="dxa"/>
            <w:tcBorders/>
            <w:vAlign w:val="center"/>
          </w:tcPr>
          <w:p>
            <w:pPr>
              <w:pStyle w:val="TableContents"/>
              <w:bidi w:val="0"/>
              <w:spacing w:before="0" w:after="283"/>
              <w:jc w:val="both"/>
              <w:rPr>
                <w:caps w:val="false"/>
                <w:smallCaps w:val="false"/>
              </w:rPr>
            </w:pPr>
            <w:r>
              <w:rPr>
                <w:caps w:val="false"/>
                <w:smallCaps w:val="false"/>
              </w:rPr>
              <w:t> </w:t>
            </w:r>
          </w:p>
        </w:tc>
        <w:tc>
          <w:tcPr>
            <w:tcW w:w="83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Interim Chief Financial Officer (principal executive officer, principal financial officer and principal accounting officer)</w:t>
            </w:r>
          </w:p>
        </w:tc>
      </w:tr>
    </w:tbl>
    <w:p>
      <w:pPr>
        <w:pStyle w:val="TextBody"/>
        <w:bidi w:val="0"/>
        <w:spacing w:before="0" w:after="0"/>
        <w:ind w:left="0" w:right="0" w:hanging="0"/>
        <w:jc w:val="righ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left"/>
        <w:rPr>
          <w:caps w:val="false"/>
          <w:smallCaps w:val="false"/>
        </w:rPr>
      </w:pPr>
      <w:bookmarkStart w:id="624" w:name="ex10-3.htm"/>
      <w:bookmarkStart w:id="625" w:name="ksex103"/>
      <w:bookmarkEnd w:id="624"/>
      <w:bookmarkEnd w:id="625"/>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AMENDMENT TO</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FOURTH AMENDMENT TO LOAN AGREEMENT (the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position w:val="7"/>
          <w:sz w:val="16"/>
          <w:sz w:val="20"/>
          <w:u w:val="single"/>
        </w:rPr>
        <w:t>th</w:t>
      </w:r>
      <w:r>
        <w:rPr>
          <w:rFonts w:ascii="Times New Roman;Times;Serif" w:hAnsi="Times New Roman;Times;Serif"/>
          <w:b w:val="false"/>
          <w:i w:val="false"/>
          <w:caps w:val="false"/>
          <w:smallCaps w:val="false"/>
          <w:sz w:val="20"/>
          <w:u w:val="single"/>
        </w:rPr>
        <w:t xml:space="preserve"> Amendment</w:t>
      </w:r>
      <w:r>
        <w:rPr>
          <w:rFonts w:ascii="Times New Roman;Times;Serif" w:hAnsi="Times New Roman;Times;Serif"/>
          <w:b w:val="false"/>
          <w:i w:val="false"/>
          <w:caps w:val="false"/>
          <w:smallCaps w:val="false"/>
          <w:sz w:val="20"/>
        </w:rPr>
        <w:t>”) is made on August 10, 2026, by and among Hour Loop, Inc. (the “Borrower”), Sam Lai, and Sau Kuen Yu (together as “Lenders”). Borrower and Lenders shall collectively be known herein as the “Parties”.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have entered into a Loan Agreement, dated as of September 16, 2021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pursuant to which the Lenders have agreed to grant to the Borrower a loan (the “Loan”) of estimated amount to be $4,038,208;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WHEREAS</w:t>
      </w:r>
      <w:r>
        <w:rPr>
          <w:rFonts w:ascii="Times New Roman;Times;Serif" w:hAnsi="Times New Roman;Times;Serif"/>
          <w:b w:val="false"/>
          <w:i w:val="false"/>
          <w:caps w:val="false"/>
          <w:smallCaps w:val="false"/>
          <w:sz w:val="20"/>
          <w:shd w:fill="FFFFFF" w:val="clear"/>
        </w:rPr>
        <w:t xml:space="preserve">, the principal amount is then determined to be </w:t>
      </w:r>
      <w:r>
        <w:rPr>
          <w:rFonts w:ascii="Times New Roman;Times;Serif" w:hAnsi="Times New Roman;Times;Serif"/>
          <w:b w:val="false"/>
          <w:i w:val="false"/>
          <w:caps w:val="false"/>
          <w:smallCaps w:val="false"/>
          <w:sz w:val="20"/>
        </w:rPr>
        <w:t>$4,170,418</w:t>
      </w:r>
      <w:r>
        <w:rPr>
          <w:rFonts w:ascii="Times New Roman;Times;Serif" w:hAnsi="Times New Roman;Times;Serif"/>
          <w:b w:val="false"/>
          <w:i w:val="false"/>
          <w:caps w:val="false"/>
          <w:smallCaps w:val="false"/>
          <w:sz w:val="20"/>
          <w:shd w:fill="FFFFFF" w:val="clear"/>
        </w:rPr>
        <w:t>. The accrued and unpaid interest amount is $120,002.92 (the “Interest Payable”) as of December 31, 2022</w:t>
      </w:r>
      <w:r>
        <w:rPr>
          <w:rFonts w:ascii="Times New Roman;Times;Serif" w:hAnsi="Times New Roman;Times;Serif"/>
          <w:b w:val="false"/>
          <w:i w:val="false"/>
          <w:caps w:val="false"/>
          <w:smallCaps w:val="false"/>
          <w:sz w:val="20"/>
        </w:rPr>
        <w:t>;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have entered into an AMENDMENT TO LOAN AGREEMENT, dated as of December 28, 2022 (the “Amendment”) with agreed tenor of 2 year, pursuant to which the principal amount, $4,170,418, should be payable as of December 31, 2024;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shd w:fill="FFFFFF" w:val="clear"/>
        </w:rPr>
        <w:t>WHEREAS,</w:t>
      </w:r>
      <w:r>
        <w:rPr>
          <w:rFonts w:ascii="Times New Roman;Times;Serif" w:hAnsi="Times New Roman;Times;Serif"/>
          <w:b w:val="false"/>
          <w:i w:val="false"/>
          <w:caps w:val="false"/>
          <w:smallCaps w:val="false"/>
          <w:sz w:val="20"/>
          <w:shd w:fill="FFFFFF" w:val="clear"/>
        </w:rPr>
        <w:t xml:space="preserve"> the principal repayment is then determined to be $1,000,000 and the accrued and unpaid interest amount is $229,372.99 as </w:t>
      </w:r>
      <w:r>
        <w:rPr>
          <w:rFonts w:ascii="Times New Roman;Times;Serif" w:hAnsi="Times New Roman;Times;Serif"/>
          <w:b w:val="false"/>
          <w:i w:val="false"/>
          <w:caps w:val="false"/>
          <w:smallCaps w:val="false"/>
          <w:sz w:val="20"/>
        </w:rPr>
        <w:t xml:space="preserve">of December 31, 2024, in which the Lenders agreed the deposits from the Borrower could be settled before </w:t>
      </w:r>
      <w:r>
        <w:rPr>
          <w:rFonts w:ascii="Times New Roman;Times;Serif" w:hAnsi="Times New Roman;Times;Serif"/>
          <w:b w:val="false"/>
          <w:i w:val="false"/>
          <w:caps w:val="false"/>
          <w:smallCaps w:val="false"/>
          <w:sz w:val="20"/>
          <w:shd w:fill="FFFFFF" w:val="clear"/>
        </w:rPr>
        <w:t>January 31, 2025</w:t>
      </w:r>
      <w:r>
        <w:rPr>
          <w:rFonts w:ascii="Times New Roman;Times;Serif" w:hAnsi="Times New Roman;Times;Serif"/>
          <w:b w:val="false"/>
          <w:i w:val="false"/>
          <w:caps w:val="false"/>
          <w:smallCaps w:val="false"/>
          <w:sz w:val="20"/>
        </w:rPr>
        <w:t xml:space="preserve"> subject to the Borrower’s normal cash reserve as Amendment states;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have entered into a SECOND AMENDMENT TO LOAN AGREEMENT, dated as of December 24, 2024 (the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Amendment”) with agreed tenor of 1 year, pursuant to which the principal amount, $3,170,418, should be payable as of December 31, 2025;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have entered into a THIRD AMENDMENT TO LOAN AGREEMENT, dated as of December 22, 2025 (the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Amendment”), with an agreed tenor of 1 year, pursuant to which the principal amount was $2,660,418, of which the Parties made six repayments totaling $600,000 between January 29, 2026 and March 27, 2026, leaving a remaining principal balance of $2,060,418 as of March 27, 2026;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set forth in the transaction schedule attached hereto as Schedule A and incorporated herein by reference, between April 1, 2026, and August 10, 2026, Lenders made a series of advances to Borrower (collectively, the “Advances”), against which Borrower made corresponding repayments, resulting in an increase to the outstanding principal amount of the Loan of $1,350,000 as of August 10, 2026;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after giving effect to the foregoing, the Parties agree that the outstanding principal amount of the Loan as of August 10, 2026 is $3,410,418 (comprised of the $2,060,418 remaining under the 3rd Amendment plus $1,350,000 in additional advances set forth in Schedule A) (the “Outstanding Principal Balance”), and the Parties desire to amend the Agreement to reflect the Outstanding Principal Balance and the other terms set forth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during the period from April 1, 2026 through August 10, 2026, interest continued to accrue on the outstanding principal amount of the Loan at the annual rate of four-point-seventy-five percent (4.75%) simple interest in accordance with the Agreement, and such accrued interest shall be calculated and paid separately from the Principal Amount;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the Parties </w:t>
      </w:r>
      <w:r>
        <w:rPr>
          <w:rFonts w:ascii="Times New Roman;Times;Serif" w:hAnsi="Times New Roman;Times;Serif"/>
          <w:b w:val="false"/>
          <w:i w:val="false"/>
          <w:caps w:val="false"/>
          <w:smallCaps w:val="false"/>
          <w:sz w:val="20"/>
        </w:rPr>
        <w:t>have agreed to modify certain terms and conditions in the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xml:space="preserve"> Amendment subject to the Borrower’s expansion plan.</w:t>
      </w:r>
    </w:p>
    <w:p>
      <w:pPr>
        <w:pStyle w:val="TextBody"/>
        <w:bidi w:val="0"/>
        <w:spacing w:before="0" w:after="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right"/>
              <w:rPr/>
            </w:pPr>
            <w:r>
              <w:rPr/>
              <w:t xml:space="preserve">Page </w:t>
            </w:r>
            <w:r>
              <w:rPr>
                <w:b/>
              </w:rPr>
              <w:t xml:space="preserve">1 </w:t>
            </w:r>
            <w:r>
              <w:rPr/>
              <w:t xml:space="preserve">of </w:t>
            </w:r>
            <w:r>
              <w:rPr>
                <w:b/>
              </w:rPr>
              <w:t>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it is agreed as follows: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Definition</w:t>
            </w:r>
            <w:r>
              <w:rPr>
                <w:rFonts w:ascii="Times New Roman;Times;Serif" w:hAnsi="Times New Roman;Times;Serif"/>
                <w:b w:val="false"/>
                <w:i w:val="false"/>
                <w:caps w:val="false"/>
                <w:smallCaps w:val="false"/>
                <w:sz w:val="20"/>
              </w:rPr>
              <w:t>. Except as otherwise expressly defined herein, all terms used herein shall have the meanings ascribed thereto in the Agreement.</w:t>
            </w:r>
          </w:p>
        </w:tc>
      </w:tr>
    </w:tbl>
    <w:p>
      <w:pPr>
        <w:pStyle w:val="TextBody"/>
        <w:bidi w:val="0"/>
        <w:spacing w:before="0" w:after="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185"/>
        <w:gridCol w:w="9920"/>
      </w:tblGrid>
      <w:tr>
        <w:trPr/>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position w:val="7"/>
                <w:sz w:val="16"/>
                <w:sz w:val="20"/>
                <w:u w:val="single"/>
              </w:rPr>
              <w:t>th</w:t>
            </w:r>
            <w:r>
              <w:rPr>
                <w:rFonts w:ascii="Times New Roman;Times;Serif" w:hAnsi="Times New Roman;Times;Serif"/>
                <w:b w:val="false"/>
                <w:i w:val="false"/>
                <w:caps w:val="false"/>
                <w:smallCaps w:val="false"/>
                <w:sz w:val="20"/>
                <w:u w:val="single"/>
              </w:rPr>
              <w:t xml:space="preserve"> Amendment</w:t>
            </w:r>
            <w:r>
              <w:rPr>
                <w:rFonts w:ascii="Times New Roman;Times;Serif" w:hAnsi="Times New Roman;Times;Serif"/>
                <w:b w:val="false"/>
                <w:i w:val="false"/>
                <w:caps w:val="false"/>
                <w:smallCaps w:val="false"/>
                <w:sz w:val="20"/>
              </w:rPr>
              <w:t>. The parties hereto expressly agree that the terms and conditions of the Agreement be amended as follows:</w:t>
            </w:r>
          </w:p>
        </w:tc>
      </w:tr>
    </w:tbl>
    <w:p>
      <w:pPr>
        <w:pStyle w:val="TextBody"/>
        <w:bidi w:val="0"/>
        <w:spacing w:before="0" w:after="0"/>
        <w:jc w:val="left"/>
        <w:rPr>
          <w:caps w:val="false"/>
          <w:smallCaps w:val="false"/>
        </w:rPr>
      </w:pPr>
      <w:r>
        <w:rPr>
          <w:caps w:val="false"/>
          <w:smallCaps w:val="false"/>
        </w:rPr>
        <w:t> </w:t>
      </w:r>
    </w:p>
    <w:tbl>
      <w:tblPr>
        <w:tblW w:w="5838" w:type="dxa"/>
        <w:jc w:val="left"/>
        <w:tblInd w:w="0" w:type="dxa"/>
        <w:tblLayout w:type="fixed"/>
        <w:tblCellMar>
          <w:top w:w="0" w:type="dxa"/>
          <w:left w:w="0" w:type="dxa"/>
          <w:bottom w:w="0" w:type="dxa"/>
          <w:right w:w="0" w:type="dxa"/>
        </w:tblCellMar>
      </w:tblPr>
      <w:tblGrid>
        <w:gridCol w:w="38"/>
        <w:gridCol w:w="245"/>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5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 The Principal Amount of the Loan is $3,410,418.</w:t>
            </w:r>
          </w:p>
        </w:tc>
      </w:tr>
    </w:tbl>
    <w:p>
      <w:pPr>
        <w:pStyle w:val="TextBody"/>
        <w:bidi w:val="0"/>
        <w:spacing w:before="0" w:after="0"/>
        <w:ind w:left="989" w:right="0" w:hanging="0"/>
        <w:jc w:val="both"/>
        <w:rPr>
          <w:caps w:val="false"/>
          <w:smallCaps w:val="false"/>
        </w:rPr>
      </w:pPr>
      <w:r>
        <w:rPr>
          <w:caps w:val="false"/>
          <w:smallCaps w:val="false"/>
        </w:rPr>
        <w:t> </w:t>
      </w:r>
    </w:p>
    <w:tbl>
      <w:tblPr>
        <w:tblW w:w="9588" w:type="dxa"/>
        <w:jc w:val="left"/>
        <w:tblInd w:w="0" w:type="dxa"/>
        <w:tblLayout w:type="fixed"/>
        <w:tblCellMar>
          <w:top w:w="0" w:type="dxa"/>
          <w:left w:w="0" w:type="dxa"/>
          <w:bottom w:w="0" w:type="dxa"/>
          <w:right w:w="0" w:type="dxa"/>
        </w:tblCellMar>
      </w:tblPr>
      <w:tblGrid>
        <w:gridCol w:w="38"/>
        <w:gridCol w:w="245"/>
        <w:gridCol w:w="930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Tenor: The tenor of the Loan, as amended hereby, shall continue through the Maturity Date of December 31, 2026.</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Repayments: The Principal Amount shall be repaid through monthly settlements of $200,000, commencing August 31, 2026, and continuing on the last day of each calendar month thereafter, with any remaining outstanding balance of the Principal Amount due and payable in full on the Maturity Date.</w:t>
            </w:r>
          </w:p>
        </w:tc>
      </w:tr>
    </w:tbl>
    <w:p>
      <w:pPr>
        <w:pStyle w:val="TextBody"/>
        <w:bidi w:val="0"/>
        <w:spacing w:before="0" w:after="0"/>
        <w:ind w:left="989"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Parties agree to discuss quarterly and make reasonable efforts, subject to the Borrower’s normal cash reserve and expansion plan (if any), to explore the possibility of early or delayed repayments.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The Loan shall bear interest at an annual rate of four-point-seventy-five percent (4.75%) simple interest. Interest shall be paid annually.</w:t>
            </w:r>
          </w:p>
        </w:tc>
      </w:tr>
    </w:tbl>
    <w:p>
      <w:pPr>
        <w:pStyle w:val="TextBody"/>
        <w:bidi w:val="0"/>
        <w:spacing w:before="0" w:after="0"/>
        <w:ind w:left="989"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Parties agree to discuss annually and make reasonable efforts, subject to the Borrower’s normal cash reserve and expansion plan (if any), to explore the possibility of early or delayed payment of interest.</w:t>
      </w:r>
    </w:p>
    <w:p>
      <w:pPr>
        <w:pStyle w:val="TextBody"/>
        <w:bidi w:val="0"/>
        <w:spacing w:before="0" w:after="0"/>
        <w:ind w:left="989"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Cross Reference.</w:t>
            </w:r>
            <w:r>
              <w:rPr>
                <w:rFonts w:ascii="Times New Roman;Times;Serif" w:hAnsi="Times New Roman;Times;Serif"/>
                <w:b w:val="false"/>
                <w:i w:val="false"/>
                <w:caps w:val="false"/>
                <w:smallCaps w:val="false"/>
                <w:sz w:val="20"/>
              </w:rPr>
              <w:t xml:space="preserve"> The Agreement as amended hereby shall, from and after the date hereof, be read as a single integrated document incorporating the amendments effected hereby and each reference to the terms, “Agreement”, “hereof”, “hereunder” and words of similar import contained in the Agreement shall, as applicable, from and after the date hereof, be deemed to be references to the Agreement, as amended by this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Amendment and each such reference (and each reference to the term “Agreement”) in all other documents related thereto shall be deemed to be a reference to the Agreement as amended hereby.</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Agreement as amended by this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Amendment constitutes the complete and exclusive understanding and agreement between the Parties regarding its subject matter and supersedes all prior or contemporaneous agreements or understandings, whether written or oral, relating to its subject matter.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Amendment shall be governed by, and interpreted in accordance with, the laws of the State of Washington.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Continuing Effect</w:t>
            </w:r>
            <w:r>
              <w:rPr>
                <w:rFonts w:ascii="Times New Roman;Times;Serif" w:hAnsi="Times New Roman;Times;Serif"/>
                <w:b w:val="false"/>
                <w:i w:val="false"/>
                <w:caps w:val="false"/>
                <w:smallCaps w:val="false"/>
                <w:sz w:val="20"/>
              </w:rPr>
              <w:t>. The terms and conditions of the Agreement, except as expressly amended, supplemented and modified herein, shall remain unchanged and in full force and effect.</w:t>
            </w:r>
          </w:p>
        </w:tc>
      </w:tr>
    </w:tbl>
    <w:p>
      <w:pPr>
        <w:pStyle w:val="TextBody"/>
        <w:bidi w:val="0"/>
        <w:spacing w:before="0" w:after="0"/>
        <w:ind w:left="720" w:right="0" w:hanging="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right"/>
              <w:rPr/>
            </w:pPr>
            <w:r>
              <w:rPr/>
              <w:t xml:space="preserve">Page </w:t>
            </w:r>
            <w:r>
              <w:rPr>
                <w:b/>
              </w:rPr>
              <w:t xml:space="preserve">2 </w:t>
            </w:r>
            <w:r>
              <w:rPr/>
              <w:t xml:space="preserve">of </w:t>
            </w:r>
            <w:r>
              <w:rPr>
                <w:b/>
              </w:rPr>
              <w:t>4</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Amendment on the date first above written.</w:t>
      </w:r>
    </w:p>
    <w:p>
      <w:pPr>
        <w:pStyle w:val="TextBody"/>
        <w:bidi w:val="0"/>
        <w:spacing w:before="0" w:after="0"/>
        <w:jc w:val="both"/>
        <w:rPr>
          <w:caps w:val="false"/>
          <w:smallCaps w:val="false"/>
        </w:rPr>
      </w:pPr>
      <w:r>
        <w:rPr>
          <w:caps w:val="false"/>
          <w:smallCaps w:val="false"/>
        </w:rPr>
        <w:t> </w:t>
      </w:r>
    </w:p>
    <w:tbl>
      <w:tblPr>
        <w:tblW w:w="6180" w:type="dxa"/>
        <w:jc w:val="left"/>
        <w:tblInd w:w="0" w:type="dxa"/>
        <w:tblLayout w:type="fixed"/>
        <w:tblCellMar>
          <w:top w:w="0" w:type="dxa"/>
          <w:left w:w="0" w:type="dxa"/>
          <w:bottom w:w="0" w:type="dxa"/>
          <w:right w:w="0" w:type="dxa"/>
        </w:tblCellMar>
      </w:tblPr>
      <w:tblGrid>
        <w:gridCol w:w="1010"/>
        <w:gridCol w:w="1565"/>
        <w:gridCol w:w="60"/>
        <w:gridCol w:w="530"/>
        <w:gridCol w:w="1430"/>
        <w:gridCol w:w="60"/>
        <w:gridCol w:w="530"/>
        <w:gridCol w:w="995"/>
      </w:tblGrid>
      <w:tr>
        <w:trPr/>
        <w:tc>
          <w:tcPr>
            <w:tcW w:w="1010" w:type="dxa"/>
            <w:tcBorders/>
            <w:vAlign w:val="center"/>
          </w:tcPr>
          <w:p>
            <w:pPr>
              <w:pStyle w:val="TableContents"/>
              <w:bidi w:val="0"/>
              <w:spacing w:before="0" w:after="283"/>
              <w:ind w:left="0" w:right="0" w:hanging="0"/>
              <w:jc w:val="both"/>
              <w:rPr>
                <w:rFonts w:ascii="Times New Roman;Times;Serif" w:hAnsi="Times New Roman;Times;Serif"/>
              </w:rPr>
            </w:pPr>
            <w:r>
              <w:rPr>
                <w:rFonts w:ascii="Times New Roman;Times;Serif" w:hAnsi="Times New Roman;Times;Serif"/>
              </w:rPr>
              <w:t>Borrower:</w:t>
            </w:r>
          </w:p>
        </w:tc>
        <w:tc>
          <w:tcPr>
            <w:tcW w:w="156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Hour Loop, Inc.</w:t>
            </w:r>
          </w:p>
        </w:tc>
        <w:tc>
          <w:tcPr>
            <w:tcW w:w="6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ind w:left="0" w:right="0" w:hanging="0"/>
              <w:jc w:val="left"/>
              <w:rPr/>
            </w:pPr>
            <w:r>
              <w:rPr/>
              <w:t> </w:t>
            </w:r>
          </w:p>
        </w:tc>
        <w:tc>
          <w:tcPr>
            <w:tcW w:w="143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ind w:left="0" w:right="0" w:hanging="0"/>
              <w:jc w:val="both"/>
              <w:rPr/>
            </w:pPr>
            <w:r>
              <w:rPr/>
              <w:t> </w:t>
            </w:r>
          </w:p>
        </w:tc>
        <w:tc>
          <w:tcPr>
            <w:tcW w:w="995" w:type="dxa"/>
            <w:tcBorders/>
            <w:vAlign w:val="center"/>
          </w:tcPr>
          <w:p>
            <w:pPr>
              <w:pStyle w:val="TableContents"/>
              <w:bidi w:val="0"/>
              <w:spacing w:before="0" w:after="283"/>
              <w:ind w:left="0" w:right="0" w:hanging="0"/>
              <w:jc w:val="left"/>
              <w:rPr/>
            </w:pPr>
            <w:r>
              <w:rPr/>
              <w:t> </w:t>
            </w:r>
          </w:p>
        </w:tc>
      </w:tr>
      <w:tr>
        <w:trPr/>
        <w:tc>
          <w:tcPr>
            <w:tcW w:w="1010" w:type="dxa"/>
            <w:tcBorders/>
            <w:vAlign w:val="center"/>
          </w:tcPr>
          <w:p>
            <w:pPr>
              <w:pStyle w:val="TableContents"/>
              <w:bidi w:val="0"/>
              <w:spacing w:before="0" w:after="283"/>
              <w:ind w:left="0" w:right="0" w:hanging="0"/>
              <w:jc w:val="both"/>
              <w:rPr/>
            </w:pPr>
            <w:r>
              <w:rPr/>
              <w:t> </w:t>
            </w:r>
          </w:p>
        </w:tc>
        <w:tc>
          <w:tcPr>
            <w:tcW w:w="1565"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ind w:left="0" w:right="0" w:hanging="0"/>
              <w:jc w:val="left"/>
              <w:rPr/>
            </w:pPr>
            <w:r>
              <w:rPr/>
              <w:t> </w:t>
            </w:r>
          </w:p>
        </w:tc>
        <w:tc>
          <w:tcPr>
            <w:tcW w:w="143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ind w:left="0" w:right="0" w:hanging="0"/>
              <w:jc w:val="both"/>
              <w:rPr/>
            </w:pPr>
            <w:r>
              <w:rPr/>
              <w:t> </w:t>
            </w:r>
          </w:p>
        </w:tc>
        <w:tc>
          <w:tcPr>
            <w:tcW w:w="995" w:type="dxa"/>
            <w:tcBorders/>
            <w:vAlign w:val="center"/>
          </w:tcPr>
          <w:p>
            <w:pPr>
              <w:pStyle w:val="TableContents"/>
              <w:bidi w:val="0"/>
              <w:spacing w:before="0" w:after="283"/>
              <w:ind w:left="0" w:right="0" w:hanging="0"/>
              <w:jc w:val="left"/>
              <w:rPr/>
            </w:pPr>
            <w:r>
              <w:rPr/>
              <w:t> </w:t>
            </w:r>
          </w:p>
        </w:tc>
      </w:tr>
      <w:tr>
        <w:trPr/>
        <w:tc>
          <w:tcPr>
            <w:tcW w:w="1010"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By:</w:t>
            </w:r>
          </w:p>
        </w:tc>
        <w:tc>
          <w:tcPr>
            <w:tcW w:w="156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i/>
              </w:rPr>
            </w:pPr>
            <w:r>
              <w:rPr>
                <w:rFonts w:ascii="Times New Roman;Times;Serif" w:hAnsi="Times New Roman;Times;Serif"/>
                <w:i/>
              </w:rPr>
              <w:t>/s/ Sam Lai</w:t>
            </w:r>
          </w:p>
        </w:tc>
        <w:tc>
          <w:tcPr>
            <w:tcW w:w="6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Print:</w:t>
            </w:r>
          </w:p>
        </w:tc>
        <w:tc>
          <w:tcPr>
            <w:tcW w:w="1430"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Sam Lai, CEO</w:t>
            </w:r>
          </w:p>
        </w:tc>
        <w:tc>
          <w:tcPr>
            <w:tcW w:w="6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ind w:left="0" w:right="0" w:hanging="0"/>
              <w:jc w:val="both"/>
              <w:rPr>
                <w:rFonts w:ascii="Times New Roman;Times;Serif" w:hAnsi="Times New Roman;Times;Serif"/>
              </w:rPr>
            </w:pPr>
            <w:r>
              <w:rPr>
                <w:rFonts w:ascii="Times New Roman;Times;Serif" w:hAnsi="Times New Roman;Times;Serif"/>
              </w:rPr>
              <w:t>Date:</w:t>
            </w:r>
          </w:p>
        </w:tc>
        <w:tc>
          <w:tcPr>
            <w:tcW w:w="99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8/10/2026</w:t>
            </w:r>
          </w:p>
        </w:tc>
      </w:tr>
      <w:tr>
        <w:trPr/>
        <w:tc>
          <w:tcPr>
            <w:tcW w:w="1010" w:type="dxa"/>
            <w:tcBorders/>
            <w:vAlign w:val="center"/>
          </w:tcPr>
          <w:p>
            <w:pPr>
              <w:pStyle w:val="TableContents"/>
              <w:bidi w:val="0"/>
              <w:spacing w:before="0" w:after="283"/>
              <w:ind w:left="0" w:right="0" w:hanging="0"/>
              <w:jc w:val="both"/>
              <w:rPr/>
            </w:pPr>
            <w:r>
              <w:rPr/>
              <w:t> </w:t>
            </w:r>
          </w:p>
        </w:tc>
        <w:tc>
          <w:tcPr>
            <w:tcW w:w="156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(Name , Title)</w:t>
            </w:r>
          </w:p>
        </w:tc>
        <w:tc>
          <w:tcPr>
            <w:tcW w:w="6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ind w:left="0" w:right="0" w:hanging="0"/>
              <w:jc w:val="left"/>
              <w:rPr/>
            </w:pPr>
            <w:r>
              <w:rPr/>
              <w:t> </w:t>
            </w:r>
          </w:p>
        </w:tc>
        <w:tc>
          <w:tcPr>
            <w:tcW w:w="143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ind w:left="0" w:right="0" w:hanging="0"/>
              <w:jc w:val="both"/>
              <w:rPr/>
            </w:pPr>
            <w:r>
              <w:rPr/>
              <w:t> </w:t>
            </w:r>
          </w:p>
        </w:tc>
        <w:tc>
          <w:tcPr>
            <w:tcW w:w="995" w:type="dxa"/>
            <w:tcBorders/>
            <w:vAlign w:val="center"/>
          </w:tcPr>
          <w:p>
            <w:pPr>
              <w:pStyle w:val="TableContents"/>
              <w:bidi w:val="0"/>
              <w:spacing w:before="0" w:after="283"/>
              <w:jc w:val="left"/>
              <w:rPr/>
            </w:pPr>
            <w:r>
              <w:rPr/>
              <w:t> </w:t>
            </w:r>
          </w:p>
        </w:tc>
      </w:tr>
    </w:tbl>
    <w:p>
      <w:pPr>
        <w:pStyle w:val="TextBody"/>
        <w:bidi w:val="0"/>
        <w:spacing w:before="0" w:after="0"/>
        <w:ind w:left="0" w:right="0" w:firstLine="460"/>
        <w:jc w:val="both"/>
        <w:rPr>
          <w:caps w:val="false"/>
          <w:smallCaps w:val="false"/>
        </w:rPr>
      </w:pPr>
      <w:r>
        <w:rPr>
          <w:caps w:val="false"/>
          <w:smallCaps w:val="false"/>
        </w:rPr>
        <w:t> </w:t>
      </w:r>
    </w:p>
    <w:tbl>
      <w:tblPr>
        <w:tblW w:w="5700" w:type="dxa"/>
        <w:jc w:val="left"/>
        <w:tblInd w:w="0" w:type="dxa"/>
        <w:tblLayout w:type="fixed"/>
        <w:tblCellMar>
          <w:top w:w="0" w:type="dxa"/>
          <w:left w:w="0" w:type="dxa"/>
          <w:bottom w:w="0" w:type="dxa"/>
          <w:right w:w="0" w:type="dxa"/>
        </w:tblCellMar>
      </w:tblPr>
      <w:tblGrid>
        <w:gridCol w:w="1625"/>
        <w:gridCol w:w="1085"/>
        <w:gridCol w:w="60"/>
        <w:gridCol w:w="530"/>
        <w:gridCol w:w="815"/>
        <w:gridCol w:w="60"/>
        <w:gridCol w:w="530"/>
        <w:gridCol w:w="995"/>
      </w:tblGrid>
      <w:tr>
        <w:trPr/>
        <w:tc>
          <w:tcPr>
            <w:tcW w:w="16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Lender’s Signature:</w:t>
            </w:r>
          </w:p>
        </w:tc>
        <w:tc>
          <w:tcPr>
            <w:tcW w:w="108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i/>
              </w:rPr>
            </w:pPr>
            <w:r>
              <w:rPr>
                <w:rFonts w:ascii="Times New Roman;Times;Serif" w:hAnsi="Times New Roman;Times;Serif"/>
                <w:i/>
              </w:rPr>
              <w:t>/s/ Sam Lai</w:t>
            </w:r>
          </w:p>
        </w:tc>
        <w:tc>
          <w:tcPr>
            <w:tcW w:w="6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Print:</w:t>
            </w:r>
          </w:p>
        </w:tc>
        <w:tc>
          <w:tcPr>
            <w:tcW w:w="81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Sam Lai</w:t>
            </w:r>
          </w:p>
        </w:tc>
        <w:tc>
          <w:tcPr>
            <w:tcW w:w="6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ind w:left="0" w:right="0" w:hanging="0"/>
              <w:jc w:val="both"/>
              <w:rPr>
                <w:rFonts w:ascii="Times New Roman;Times;Serif" w:hAnsi="Times New Roman;Times;Serif"/>
              </w:rPr>
            </w:pPr>
            <w:r>
              <w:rPr>
                <w:rFonts w:ascii="Times New Roman;Times;Serif" w:hAnsi="Times New Roman;Times;Serif"/>
              </w:rPr>
              <w:t>Date:</w:t>
            </w:r>
          </w:p>
        </w:tc>
        <w:tc>
          <w:tcPr>
            <w:tcW w:w="9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8/10/2026</w:t>
            </w:r>
          </w:p>
        </w:tc>
      </w:tr>
    </w:tbl>
    <w:p>
      <w:pPr>
        <w:pStyle w:val="TextBody"/>
        <w:bidi w:val="0"/>
        <w:spacing w:before="0" w:after="0"/>
        <w:ind w:left="0" w:right="0" w:firstLine="460"/>
        <w:jc w:val="both"/>
        <w:rPr>
          <w:caps w:val="false"/>
          <w:smallCaps w:val="false"/>
        </w:rPr>
      </w:pPr>
      <w:r>
        <w:rPr>
          <w:caps w:val="false"/>
          <w:smallCaps w:val="false"/>
        </w:rPr>
        <w:t> </w:t>
      </w:r>
    </w:p>
    <w:tbl>
      <w:tblPr>
        <w:tblW w:w="6660" w:type="dxa"/>
        <w:jc w:val="left"/>
        <w:tblInd w:w="0" w:type="dxa"/>
        <w:tblLayout w:type="fixed"/>
        <w:tblCellMar>
          <w:top w:w="0" w:type="dxa"/>
          <w:left w:w="0" w:type="dxa"/>
          <w:bottom w:w="0" w:type="dxa"/>
          <w:right w:w="0" w:type="dxa"/>
        </w:tblCellMar>
      </w:tblPr>
      <w:tblGrid>
        <w:gridCol w:w="1625"/>
        <w:gridCol w:w="1535"/>
        <w:gridCol w:w="60"/>
        <w:gridCol w:w="530"/>
        <w:gridCol w:w="1325"/>
        <w:gridCol w:w="60"/>
        <w:gridCol w:w="530"/>
        <w:gridCol w:w="995"/>
      </w:tblGrid>
      <w:tr>
        <w:trPr/>
        <w:tc>
          <w:tcPr>
            <w:tcW w:w="1625" w:type="dxa"/>
            <w:tcBorders/>
            <w:vAlign w:val="center"/>
          </w:tcPr>
          <w:p>
            <w:pPr>
              <w:pStyle w:val="TableContents"/>
              <w:bidi w:val="0"/>
              <w:spacing w:before="0" w:after="283"/>
              <w:ind w:left="0" w:right="0" w:hanging="0"/>
              <w:jc w:val="both"/>
              <w:rPr>
                <w:rFonts w:ascii="Times New Roman;Times;Serif" w:hAnsi="Times New Roman;Times;Serif"/>
                <w:sz w:val="20"/>
              </w:rPr>
            </w:pPr>
            <w:r>
              <w:rPr>
                <w:rFonts w:ascii="Times New Roman;Times;Serif" w:hAnsi="Times New Roman;Times;Serif"/>
                <w:sz w:val="20"/>
              </w:rPr>
              <w:t>Lender’s Signature:</w:t>
            </w:r>
          </w:p>
        </w:tc>
        <w:tc>
          <w:tcPr>
            <w:tcW w:w="153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i/>
              </w:rPr>
            </w:pPr>
            <w:r>
              <w:rPr>
                <w:rFonts w:ascii="Times New Roman;Times;Serif" w:hAnsi="Times New Roman;Times;Serif"/>
                <w:i/>
              </w:rPr>
              <w:t>/s/ Sau Kuen Yu</w:t>
            </w:r>
          </w:p>
        </w:tc>
        <w:tc>
          <w:tcPr>
            <w:tcW w:w="6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Print:</w:t>
            </w:r>
          </w:p>
        </w:tc>
        <w:tc>
          <w:tcPr>
            <w:tcW w:w="1325" w:type="dxa"/>
            <w:tcBorders>
              <w:bottom w:val="single" w:sz="8"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Sau Kuen Yu</w:t>
            </w:r>
          </w:p>
        </w:tc>
        <w:tc>
          <w:tcPr>
            <w:tcW w:w="60" w:type="dxa"/>
            <w:tcBorders/>
            <w:vAlign w:val="center"/>
          </w:tcPr>
          <w:p>
            <w:pPr>
              <w:pStyle w:val="TableContents"/>
              <w:bidi w:val="0"/>
              <w:spacing w:before="0" w:after="283"/>
              <w:ind w:left="0" w:right="0" w:hanging="0"/>
              <w:jc w:val="left"/>
              <w:rPr/>
            </w:pPr>
            <w:r>
              <w:rPr/>
              <w:t> </w:t>
            </w:r>
          </w:p>
        </w:tc>
        <w:tc>
          <w:tcPr>
            <w:tcW w:w="530" w:type="dxa"/>
            <w:tcBorders/>
            <w:vAlign w:val="center"/>
          </w:tcPr>
          <w:p>
            <w:pPr>
              <w:pStyle w:val="TableContents"/>
              <w:bidi w:val="0"/>
              <w:spacing w:before="0" w:after="283"/>
              <w:ind w:left="0" w:right="0" w:hanging="0"/>
              <w:jc w:val="both"/>
              <w:rPr>
                <w:rFonts w:ascii="Times New Roman;Times;Serif" w:hAnsi="Times New Roman;Times;Serif"/>
              </w:rPr>
            </w:pPr>
            <w:r>
              <w:rPr>
                <w:rFonts w:ascii="Times New Roman;Times;Serif" w:hAnsi="Times New Roman;Times;Serif"/>
              </w:rPr>
              <w:t>Date:</w:t>
            </w:r>
          </w:p>
        </w:tc>
        <w:tc>
          <w:tcPr>
            <w:tcW w:w="9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8/10/2026</w:t>
            </w:r>
          </w:p>
        </w:tc>
      </w:tr>
    </w:tbl>
    <w:p>
      <w:pPr>
        <w:pStyle w:val="TextBody"/>
        <w:bidi w:val="0"/>
        <w:spacing w:before="0" w:after="0"/>
        <w:ind w:left="0" w:right="0" w:firstLine="46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right"/>
              <w:rPr/>
            </w:pPr>
            <w:r>
              <w:rPr/>
              <w:t xml:space="preserve">Page </w:t>
            </w:r>
            <w:r>
              <w:rPr>
                <w:b/>
              </w:rPr>
              <w:t xml:space="preserve">3 </w:t>
            </w:r>
            <w:r>
              <w:rPr/>
              <w:t xml:space="preserve">of </w:t>
            </w:r>
            <w:r>
              <w:rPr>
                <w:b/>
              </w:rPr>
              <w:t>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46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A — Loan Advances and Repayments</w:t>
      </w:r>
    </w:p>
    <w:p>
      <w:pPr>
        <w:pStyle w:val="TextBody"/>
        <w:bidi w:val="0"/>
        <w:spacing w:before="0" w:after="0"/>
        <w:ind w:left="0" w:right="0" w:firstLine="460"/>
        <w:jc w:val="both"/>
        <w:rPr>
          <w:caps w:val="false"/>
          <w:smallCaps w:val="false"/>
        </w:rPr>
      </w:pPr>
      <w:r>
        <w:rPr>
          <w:caps w:val="false"/>
          <w:smallCaps w:val="false"/>
        </w:rPr>
        <w:t> </w:t>
      </w:r>
    </w:p>
    <w:p>
      <w:pPr>
        <w:pStyle w:val="TextBody"/>
        <w:bidi w:val="0"/>
        <w:spacing w:before="0" w:after="0"/>
        <w:ind w:left="0" w:right="0" w:firstLine="460"/>
        <w:jc w:val="center"/>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(December 31, 2025 through August 10, 2026)</w:t>
      </w:r>
    </w:p>
    <w:p>
      <w:pPr>
        <w:pStyle w:val="TextBody"/>
        <w:bidi w:val="0"/>
        <w:spacing w:before="0" w:after="0"/>
        <w:ind w:left="0" w:right="0" w:firstLine="460"/>
        <w:jc w:val="left"/>
        <w:rPr>
          <w:caps w:val="false"/>
          <w:smallCaps w:val="false"/>
        </w:rPr>
      </w:pPr>
      <w:r>
        <w:rPr>
          <w:caps w:val="false"/>
          <w:smallCaps w:val="false"/>
        </w:rPr>
        <w:t> </w:t>
      </w:r>
    </w:p>
    <w:tbl>
      <w:tblPr>
        <w:tblW w:w="8372" w:type="dxa"/>
        <w:jc w:val="left"/>
        <w:tblInd w:w="0" w:type="dxa"/>
        <w:tblLayout w:type="fixed"/>
        <w:tblCellMar>
          <w:top w:w="0" w:type="dxa"/>
          <w:left w:w="0" w:type="dxa"/>
          <w:bottom w:w="28" w:type="dxa"/>
          <w:right w:w="0" w:type="dxa"/>
        </w:tblCellMar>
      </w:tblPr>
      <w:tblGrid>
        <w:gridCol w:w="1115"/>
        <w:gridCol w:w="60"/>
        <w:gridCol w:w="250"/>
        <w:gridCol w:w="1434"/>
        <w:gridCol w:w="60"/>
        <w:gridCol w:w="60"/>
        <w:gridCol w:w="306"/>
        <w:gridCol w:w="1753"/>
        <w:gridCol w:w="60"/>
        <w:gridCol w:w="60"/>
        <w:gridCol w:w="392"/>
        <w:gridCol w:w="2747"/>
        <w:gridCol w:w="75"/>
      </w:tblGrid>
      <w:tr>
        <w:trPr/>
        <w:tc>
          <w:tcPr>
            <w:tcW w:w="111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Date</w:t>
            </w:r>
          </w:p>
        </w:tc>
        <w:tc>
          <w:tcPr>
            <w:tcW w:w="60" w:type="dxa"/>
            <w:tcBorders/>
            <w:tcMar>
              <w:bottom w:w="0" w:type="dxa"/>
            </w:tcMar>
            <w:vAlign w:val="center"/>
          </w:tcPr>
          <w:p>
            <w:pPr>
              <w:pStyle w:val="TableContents"/>
              <w:bidi w:val="0"/>
              <w:spacing w:before="0" w:after="283"/>
              <w:jc w:val="left"/>
              <w:rPr/>
            </w:pPr>
            <w:r>
              <w:rPr/>
              <w:t> </w:t>
            </w:r>
          </w:p>
        </w:tc>
        <w:tc>
          <w:tcPr>
            <w:tcW w:w="16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Advance (Debit)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5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Repayment (Credit)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Outstanding Principal Balance</w:t>
            </w:r>
          </w:p>
        </w:tc>
        <w:tc>
          <w:tcPr>
            <w:tcW w:w="75" w:type="dxa"/>
            <w:tcBorders/>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12/31/2025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 </w:t>
            </w:r>
          </w:p>
        </w:tc>
        <w:tc>
          <w:tcPr>
            <w:tcW w:w="175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4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2,660,418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1/29/2026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4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2,560,418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1/29/2026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4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2,460,418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2/26/2026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4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2,360,418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2/26/2026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4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2,260,418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3/26/2026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4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2,160,418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3/27/2026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4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2,060,418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4/1/2026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4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2,040,418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4/2/2026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 </w:t>
            </w:r>
          </w:p>
        </w:tc>
        <w:tc>
          <w:tcPr>
            <w:tcW w:w="175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4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2,640,418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4/2/2026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175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4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2,910,418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4/2/2026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4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2,904,418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4/3/2026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175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4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3,160,418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4/7/2026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4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3,150,418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175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4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3,160,418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 </w:t>
            </w:r>
          </w:p>
        </w:tc>
        <w:tc>
          <w:tcPr>
            <w:tcW w:w="175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4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3,510,418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4/16/2026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4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3,495,418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4/17/2026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 </w:t>
            </w:r>
          </w:p>
        </w:tc>
        <w:tc>
          <w:tcPr>
            <w:tcW w:w="175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4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3,510,418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4/21/2026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175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4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3,610,418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5/26/2026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4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3,593,418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5/27/2026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175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4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3,610,418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5/28/2026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4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3,510,418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5/28/2026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4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3,410,418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6/4/2026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5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4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3,394,418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6/5/2026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175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4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3,410,418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center"/>
              <w:rPr/>
            </w:pPr>
            <w:r>
              <w:rPr/>
              <w:t>7</w:t>
            </w:r>
            <w:r>
              <w:rPr>
                <w:rFonts w:ascii="Times New Roman;Times;Serif" w:hAnsi="Times New Roman;Times;Serif"/>
                <w:sz w:val="20"/>
              </w:rPr>
              <w:t>/7/2026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 </w:t>
            </w:r>
          </w:p>
        </w:tc>
        <w:tc>
          <w:tcPr>
            <w:tcW w:w="143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w:t>
            </w:r>
          </w:p>
        </w:tc>
        <w:tc>
          <w:tcPr>
            <w:tcW w:w="1753" w:type="dxa"/>
            <w:tcBorders/>
            <w:shd w:fill="CCEEFF" w:val="clear"/>
            <w:tcMar>
              <w:bottom w:w="0" w:type="dxa"/>
            </w:tcMar>
            <w:vAlign w:val="center"/>
          </w:tcPr>
          <w:p>
            <w:pPr>
              <w:pStyle w:val="TableContents"/>
              <w:bidi w:val="0"/>
              <w:spacing w:before="0" w:after="283"/>
              <w:jc w:val="right"/>
              <w:rPr/>
            </w:pPr>
            <w:r>
              <w:rPr/>
              <w:t>25</w:t>
            </w:r>
            <w:r>
              <w:rPr>
                <w:rFonts w:ascii="Times New Roman;Times;Serif" w:hAnsi="Times New Roman;Times;Serif"/>
                <w:sz w:val="20"/>
              </w:rPr>
              <w:t>,000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 w:type="dxa"/>
            <w:tcBorders/>
            <w:shd w:fill="CCEEFF" w:val="clear"/>
            <w:tcMar>
              <w:bottom w:w="0" w:type="dxa"/>
            </w:tcMar>
            <w:vAlign w:val="center"/>
          </w:tcPr>
          <w:p>
            <w:pPr>
              <w:pStyle w:val="TableContents"/>
              <w:bidi w:val="0"/>
              <w:spacing w:before="0" w:after="283"/>
              <w:jc w:val="left"/>
              <w:rPr/>
            </w:pPr>
            <w:r>
              <w:rPr/>
              <w:t>$</w:t>
            </w:r>
          </w:p>
        </w:tc>
        <w:tc>
          <w:tcPr>
            <w:tcW w:w="2747" w:type="dxa"/>
            <w:tcBorders/>
            <w:shd w:fill="CCEEFF" w:val="clear"/>
            <w:tcMar>
              <w:bottom w:w="0" w:type="dxa"/>
            </w:tcMar>
            <w:vAlign w:val="center"/>
          </w:tcPr>
          <w:p>
            <w:pPr>
              <w:pStyle w:val="TableContents"/>
              <w:bidi w:val="0"/>
              <w:spacing w:before="0" w:after="283"/>
              <w:jc w:val="right"/>
              <w:rPr/>
            </w:pPr>
            <w:r>
              <w:rPr/>
              <w:t>3,3</w:t>
            </w:r>
            <w:r>
              <w:rPr>
                <w:rFonts w:ascii="Times New Roman;Times;Serif" w:hAnsi="Times New Roman;Times;Serif"/>
                <w:sz w:val="20"/>
              </w:rPr>
              <w:t>85,418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center"/>
              <w:rPr/>
            </w:pPr>
            <w:r>
              <w:rPr/>
              <w:t>7</w:t>
            </w:r>
            <w:r>
              <w:rPr>
                <w:rFonts w:ascii="Times New Roman;Times;Serif" w:hAnsi="Times New Roman;Times;Serif"/>
                <w:sz w:val="20"/>
              </w:rPr>
              <w:t>/8/2026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w:t>
            </w:r>
          </w:p>
        </w:tc>
        <w:tc>
          <w:tcPr>
            <w:tcW w:w="1434" w:type="dxa"/>
            <w:tcBorders/>
            <w:shd w:fill="FFFFFF" w:val="clear"/>
            <w:tcMar>
              <w:bottom w:w="0" w:type="dxa"/>
            </w:tcMar>
            <w:vAlign w:val="center"/>
          </w:tcPr>
          <w:p>
            <w:pPr>
              <w:pStyle w:val="TableContents"/>
              <w:bidi w:val="0"/>
              <w:spacing w:before="0" w:after="283"/>
              <w:jc w:val="right"/>
              <w:rPr/>
            </w:pPr>
            <w:r>
              <w:rPr/>
              <w:t>25</w:t>
            </w:r>
            <w:r>
              <w:rPr>
                <w:rFonts w:ascii="Times New Roman;Times;Serif" w:hAnsi="Times New Roman;Times;Serif"/>
                <w:sz w:val="20"/>
              </w:rPr>
              <w:t>,000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1753"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 w:type="dxa"/>
            <w:tcBorders/>
            <w:shd w:fill="FFFFFF" w:val="clear"/>
            <w:tcMar>
              <w:bottom w:w="0" w:type="dxa"/>
            </w:tcMar>
            <w:vAlign w:val="center"/>
          </w:tcPr>
          <w:p>
            <w:pPr>
              <w:pStyle w:val="TableContents"/>
              <w:bidi w:val="0"/>
              <w:spacing w:before="0" w:after="283"/>
              <w:jc w:val="left"/>
              <w:rPr/>
            </w:pPr>
            <w:r>
              <w:rPr/>
              <w:t>$</w:t>
            </w:r>
          </w:p>
        </w:tc>
        <w:tc>
          <w:tcPr>
            <w:tcW w:w="2747" w:type="dxa"/>
            <w:tcBorders/>
            <w:shd w:fill="FFFFFF" w:val="clear"/>
            <w:tcMar>
              <w:bottom w:w="0" w:type="dxa"/>
            </w:tcMar>
            <w:vAlign w:val="center"/>
          </w:tcPr>
          <w:p>
            <w:pPr>
              <w:pStyle w:val="TableContents"/>
              <w:bidi w:val="0"/>
              <w:spacing w:before="0" w:after="283"/>
              <w:jc w:val="right"/>
              <w:rPr/>
            </w:pPr>
            <w:r>
              <w:rPr/>
              <w:t>3,410,418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115" w:type="dxa"/>
            <w:tcBorders/>
            <w:shd w:fill="CCEEFF" w:val="clear"/>
            <w:tcMar>
              <w:bottom w:w="0" w:type="dxa"/>
            </w:tcMar>
            <w:vAlign w:val="center"/>
          </w:tcPr>
          <w:p>
            <w:pPr>
              <w:pStyle w:val="TableContents"/>
              <w:bidi w:val="0"/>
              <w:spacing w:before="0" w:after="283"/>
              <w:jc w:val="center"/>
              <w:rPr/>
            </w:pPr>
            <w:r>
              <w:rPr/>
              <w:t>8</w:t>
            </w:r>
            <w:r>
              <w:rPr>
                <w:rFonts w:ascii="Times New Roman;Times;Serif" w:hAnsi="Times New Roman;Times;Serif"/>
                <w:sz w:val="20"/>
              </w:rPr>
              <w:t>/7/2026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0" w:type="dxa"/>
            <w:tcBorders/>
            <w:shd w:fill="CCEEFF" w:val="clear"/>
            <w:tcMar>
              <w:bottom w:w="0" w:type="dxa"/>
            </w:tcMar>
            <w:vAlign w:val="center"/>
          </w:tcPr>
          <w:p>
            <w:pPr>
              <w:pStyle w:val="TableContents"/>
              <w:bidi w:val="0"/>
              <w:spacing w:before="0" w:after="283"/>
              <w:jc w:val="left"/>
              <w:rPr/>
            </w:pPr>
            <w:r>
              <w:rPr/>
              <w:t>$</w:t>
            </w:r>
          </w:p>
        </w:tc>
        <w:tc>
          <w:tcPr>
            <w:tcW w:w="1434" w:type="dxa"/>
            <w:tcBorders/>
            <w:shd w:fill="CCEEFF" w:val="clear"/>
            <w:tcMar>
              <w:bottom w:w="0" w:type="dxa"/>
            </w:tcMar>
            <w:vAlign w:val="center"/>
          </w:tcPr>
          <w:p>
            <w:pPr>
              <w:pStyle w:val="TableContents"/>
              <w:bidi w:val="0"/>
              <w:spacing w:before="0" w:after="283"/>
              <w:jc w:val="right"/>
              <w:rPr/>
            </w:pPr>
            <w:r>
              <w:rPr/>
              <w:t>300</w:t>
            </w:r>
            <w:r>
              <w:rPr>
                <w:rFonts w:ascii="Times New Roman;Times;Serif" w:hAnsi="Times New Roman;Times;Serif"/>
                <w:sz w:val="20"/>
              </w:rPr>
              <w:t>,000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6" w:type="dxa"/>
            <w:tcBorders/>
            <w:shd w:fill="CCEEFF" w:val="clear"/>
            <w:tcMar>
              <w:bottom w:w="0" w:type="dxa"/>
            </w:tcMar>
            <w:vAlign w:val="center"/>
          </w:tcPr>
          <w:p>
            <w:pPr>
              <w:pStyle w:val="TableContents"/>
              <w:bidi w:val="0"/>
              <w:spacing w:before="0" w:after="283"/>
              <w:jc w:val="left"/>
              <w:rPr/>
            </w:pPr>
            <w:r>
              <w:rPr/>
              <w:t> </w:t>
            </w:r>
          </w:p>
        </w:tc>
        <w:tc>
          <w:tcPr>
            <w:tcW w:w="1753"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2" w:type="dxa"/>
            <w:tcBorders/>
            <w:shd w:fill="CCEEFF" w:val="clear"/>
            <w:tcMar>
              <w:bottom w:w="0" w:type="dxa"/>
            </w:tcMar>
            <w:vAlign w:val="center"/>
          </w:tcPr>
          <w:p>
            <w:pPr>
              <w:pStyle w:val="TableContents"/>
              <w:bidi w:val="0"/>
              <w:spacing w:before="0" w:after="283"/>
              <w:jc w:val="left"/>
              <w:rPr/>
            </w:pPr>
            <w:r>
              <w:rPr/>
              <w:t>$</w:t>
            </w:r>
          </w:p>
        </w:tc>
        <w:tc>
          <w:tcPr>
            <w:tcW w:w="2747" w:type="dxa"/>
            <w:tcBorders/>
            <w:shd w:fill="CCEEFF" w:val="clear"/>
            <w:tcMar>
              <w:bottom w:w="0" w:type="dxa"/>
            </w:tcMar>
            <w:vAlign w:val="center"/>
          </w:tcPr>
          <w:p>
            <w:pPr>
              <w:pStyle w:val="TableContents"/>
              <w:bidi w:val="0"/>
              <w:spacing w:before="0" w:after="283"/>
              <w:jc w:val="right"/>
              <w:rPr/>
            </w:pPr>
            <w:r>
              <w:rPr/>
              <w:t>3,</w:t>
            </w:r>
            <w:r>
              <w:rPr>
                <w:rFonts w:ascii="Times New Roman;Times;Serif" w:hAnsi="Times New Roman;Times;Serif"/>
                <w:sz w:val="20"/>
              </w:rPr>
              <w:t>710,418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15" w:type="dxa"/>
            <w:tcBorders/>
            <w:shd w:fill="FFFFFF" w:val="clear"/>
            <w:tcMar>
              <w:bottom w:w="0" w:type="dxa"/>
            </w:tcMar>
            <w:vAlign w:val="center"/>
          </w:tcPr>
          <w:p>
            <w:pPr>
              <w:pStyle w:val="TableContents"/>
              <w:bidi w:val="0"/>
              <w:spacing w:before="0" w:after="283"/>
              <w:jc w:val="center"/>
              <w:rPr/>
            </w:pPr>
            <w:r>
              <w:rPr/>
              <w:t>8</w:t>
            </w:r>
            <w:r>
              <w:rPr>
                <w:rFonts w:ascii="Times New Roman;Times;Serif" w:hAnsi="Times New Roman;Times;Serif"/>
                <w:sz w:val="20"/>
              </w:rPr>
              <w:t>/10/2026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0" w:type="dxa"/>
            <w:tcBorders/>
            <w:shd w:fill="FFFFFF" w:val="clear"/>
            <w:tcMar>
              <w:bottom w:w="0" w:type="dxa"/>
            </w:tcMar>
            <w:vAlign w:val="center"/>
          </w:tcPr>
          <w:p>
            <w:pPr>
              <w:pStyle w:val="TableContents"/>
              <w:bidi w:val="0"/>
              <w:spacing w:before="0" w:after="283"/>
              <w:jc w:val="left"/>
              <w:rPr/>
            </w:pPr>
            <w:r>
              <w:rPr/>
              <w:t> </w:t>
            </w:r>
          </w:p>
        </w:tc>
        <w:tc>
          <w:tcPr>
            <w:tcW w:w="143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6" w:type="dxa"/>
            <w:tcBorders/>
            <w:shd w:fill="FFFFFF" w:val="clear"/>
            <w:tcMar>
              <w:bottom w:w="0" w:type="dxa"/>
            </w:tcMar>
            <w:vAlign w:val="center"/>
          </w:tcPr>
          <w:p>
            <w:pPr>
              <w:pStyle w:val="TableContents"/>
              <w:bidi w:val="0"/>
              <w:spacing w:before="0" w:after="283"/>
              <w:jc w:val="left"/>
              <w:rPr/>
            </w:pPr>
            <w:r>
              <w:rPr/>
              <w:t> </w:t>
            </w:r>
          </w:p>
        </w:tc>
        <w:tc>
          <w:tcPr>
            <w:tcW w:w="1753" w:type="dxa"/>
            <w:tcBorders/>
            <w:shd w:fill="FFFFFF" w:val="clear"/>
            <w:tcMar>
              <w:bottom w:w="0" w:type="dxa"/>
            </w:tcMar>
            <w:vAlign w:val="center"/>
          </w:tcPr>
          <w:p>
            <w:pPr>
              <w:pStyle w:val="TableContents"/>
              <w:bidi w:val="0"/>
              <w:spacing w:before="0" w:after="283"/>
              <w:jc w:val="right"/>
              <w:rPr/>
            </w:pPr>
            <w:r>
              <w:rPr/>
              <w:t>300</w:t>
            </w:r>
            <w:r>
              <w:rPr>
                <w:rFonts w:ascii="Times New Roman;Times;Serif" w:hAnsi="Times New Roman;Times;Serif"/>
                <w:sz w:val="20"/>
              </w:rPr>
              <w:t>,00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2" w:type="dxa"/>
            <w:tcBorders/>
            <w:shd w:fill="FFFFFF" w:val="clear"/>
            <w:tcMar>
              <w:bottom w:w="0" w:type="dxa"/>
            </w:tcMar>
            <w:vAlign w:val="center"/>
          </w:tcPr>
          <w:p>
            <w:pPr>
              <w:pStyle w:val="TableContents"/>
              <w:bidi w:val="0"/>
              <w:spacing w:before="0" w:after="283"/>
              <w:jc w:val="left"/>
              <w:rPr/>
            </w:pPr>
            <w:r>
              <w:rPr/>
              <w:t>$</w:t>
            </w:r>
          </w:p>
        </w:tc>
        <w:tc>
          <w:tcPr>
            <w:tcW w:w="2747" w:type="dxa"/>
            <w:tcBorders/>
            <w:shd w:fill="FFFFFF" w:val="clear"/>
            <w:tcMar>
              <w:bottom w:w="0" w:type="dxa"/>
            </w:tcMar>
            <w:vAlign w:val="center"/>
          </w:tcPr>
          <w:p>
            <w:pPr>
              <w:pStyle w:val="TableContents"/>
              <w:bidi w:val="0"/>
              <w:spacing w:before="0" w:after="283"/>
              <w:jc w:val="right"/>
              <w:rPr/>
            </w:pPr>
            <w:r>
              <w:rPr/>
              <w:t>3,410,418</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460"/>
        <w:jc w:val="both"/>
        <w:rPr>
          <w:caps w:val="false"/>
          <w:smallCaps w:val="false"/>
        </w:rPr>
      </w:pPr>
      <w:r>
        <w:rPr>
          <w:caps w:val="false"/>
          <w:smallCaps w:val="false"/>
        </w:rPr>
        <w:t> </w:t>
      </w:r>
    </w:p>
    <w:tbl>
      <w:tblPr>
        <w:tblW w:w="1130" w:type="dxa"/>
        <w:jc w:val="left"/>
        <w:tblInd w:w="0" w:type="dxa"/>
        <w:tblLayout w:type="fixed"/>
        <w:tblCellMar>
          <w:top w:w="0" w:type="dxa"/>
          <w:left w:w="0" w:type="dxa"/>
          <w:bottom w:w="0" w:type="dxa"/>
          <w:right w:w="0" w:type="dxa"/>
        </w:tblCellMar>
      </w:tblPr>
      <w:tblGrid>
        <w:gridCol w:w="1130"/>
      </w:tblGrid>
      <w:tr>
        <w:trPr/>
        <w:tc>
          <w:tcPr>
            <w:tcW w:w="1130" w:type="dxa"/>
            <w:tcBorders/>
            <w:vAlign w:val="center"/>
          </w:tcPr>
          <w:p>
            <w:pPr>
              <w:pStyle w:val="TableContents"/>
              <w:bidi w:val="0"/>
              <w:spacing w:before="0" w:after="283"/>
              <w:jc w:val="right"/>
              <w:rPr/>
            </w:pPr>
            <w:r>
              <w:rPr/>
              <w:t xml:space="preserve">Page </w:t>
            </w:r>
            <w:r>
              <w:rPr>
                <w:b/>
              </w:rPr>
              <w:t xml:space="preserve">4 </w:t>
            </w:r>
            <w:r>
              <w:rPr/>
              <w:t xml:space="preserve">of </w:t>
            </w:r>
            <w:r>
              <w:rPr>
                <w:b/>
              </w:rPr>
              <w:t>4</w:t>
            </w:r>
          </w:p>
        </w:tc>
      </w:tr>
    </w:tbl>
    <w:p>
      <w:pPr>
        <w:pStyle w:val="TextBody"/>
        <w:bidi w:val="0"/>
        <w:spacing w:before="0" w:after="0"/>
        <w:ind w:left="0" w:right="0" w:firstLine="460"/>
        <w:jc w:val="both"/>
        <w:rPr>
          <w:caps w:val="false"/>
          <w:smallCaps w:val="false"/>
        </w:rPr>
      </w:pPr>
      <w:r>
        <w:rPr>
          <w:caps w:val="false"/>
          <w:smallCaps w:val="false"/>
        </w:rPr>
        <w:t> </w:t>
      </w:r>
    </w:p>
    <w:p>
      <w:pPr>
        <w:pStyle w:val="TextBody"/>
        <w:bidi w:val="0"/>
        <w:spacing w:before="0" w:after="0"/>
        <w:ind w:left="0" w:right="0" w:firstLine="460"/>
        <w:jc w:val="left"/>
        <w:rPr>
          <w:caps w:val="false"/>
          <w:smallCaps w:val="false"/>
        </w:rPr>
      </w:pPr>
      <w:r>
        <w:rPr>
          <w:caps w:val="false"/>
          <w:smallCaps w:val="false"/>
        </w:rPr>
        <w:t> </w:t>
      </w:r>
    </w:p>
    <w:p>
      <w:pPr>
        <w:pStyle w:val="TextBody"/>
        <w:bidi w:val="0"/>
        <w:jc w:val="left"/>
        <w:rPr>
          <w:caps w:val="false"/>
          <w:smallCaps w:val="false"/>
        </w:rPr>
      </w:pPr>
      <w:bookmarkStart w:id="626" w:name="ex31-1.htm"/>
      <w:bookmarkStart w:id="627" w:name="ksex311"/>
      <w:bookmarkEnd w:id="626"/>
      <w:bookmarkEnd w:id="6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Sam Lai, certify that: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for the quarter ended June 30, 2026 of Hour Loop,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p>
      <w:pPr>
        <w:pStyle w:val="TextBody"/>
        <w:bidi w:val="0"/>
        <w:spacing w:before="0" w:after="0"/>
        <w:ind w:left="0" w:right="0" w:hanging="0"/>
        <w:jc w:val="center"/>
        <w:rPr>
          <w:caps w:val="false"/>
          <w:smallCaps w:val="false"/>
        </w:rPr>
      </w:pPr>
      <w:r>
        <w:rPr>
          <w:caps w:val="false"/>
          <w:smallCaps w:val="false"/>
        </w:rPr>
        <w:t> </w:t>
      </w:r>
    </w:p>
    <w:tbl>
      <w:tblPr>
        <w:tblW w:w="4955" w:type="dxa"/>
        <w:jc w:val="left"/>
        <w:tblInd w:w="0" w:type="dxa"/>
        <w:tblLayout w:type="fixed"/>
        <w:tblCellMar>
          <w:top w:w="0" w:type="dxa"/>
          <w:left w:w="0" w:type="dxa"/>
          <w:bottom w:w="28" w:type="dxa"/>
          <w:right w:w="0" w:type="dxa"/>
        </w:tblCellMar>
      </w:tblPr>
      <w:tblGrid>
        <w:gridCol w:w="4880"/>
        <w:gridCol w:w="75"/>
      </w:tblGrid>
      <w:tr>
        <w:trPr/>
        <w:tc>
          <w:tcPr>
            <w:tcW w:w="48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Sam Lai</w:t>
            </w:r>
          </w:p>
        </w:tc>
        <w:tc>
          <w:tcPr>
            <w:tcW w:w="7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8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Lai</w:t>
            </w:r>
          </w:p>
        </w:tc>
        <w:tc>
          <w:tcPr>
            <w:tcW w:w="7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8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and Interim Chief Financial Officer </w:t>
              <w:br/>
              <w:t>(principal financial officer)</w:t>
            </w:r>
          </w:p>
        </w:tc>
        <w:tc>
          <w:tcPr>
            <w:tcW w:w="7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28" w:name="ex31-2.htm"/>
      <w:bookmarkStart w:id="629" w:name="ksex312"/>
      <w:bookmarkEnd w:id="628"/>
      <w:bookmarkEnd w:id="6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Sam Lai,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for the quarter ended June 30, 2026 of Hour Loop,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p>
      <w:pPr>
        <w:pStyle w:val="TextBody"/>
        <w:bidi w:val="0"/>
        <w:spacing w:before="0" w:after="0"/>
        <w:ind w:left="0" w:right="0" w:hanging="0"/>
        <w:jc w:val="center"/>
        <w:rPr>
          <w:caps w:val="false"/>
          <w:smallCaps w:val="false"/>
        </w:rPr>
      </w:pPr>
      <w:r>
        <w:rPr>
          <w:caps w:val="false"/>
          <w:smallCaps w:val="false"/>
        </w:rPr>
        <w:t> </w:t>
      </w:r>
    </w:p>
    <w:tbl>
      <w:tblPr>
        <w:tblW w:w="4955" w:type="dxa"/>
        <w:jc w:val="left"/>
        <w:tblInd w:w="0" w:type="dxa"/>
        <w:tblLayout w:type="fixed"/>
        <w:tblCellMar>
          <w:top w:w="0" w:type="dxa"/>
          <w:left w:w="0" w:type="dxa"/>
          <w:bottom w:w="28" w:type="dxa"/>
          <w:right w:w="0" w:type="dxa"/>
        </w:tblCellMar>
      </w:tblPr>
      <w:tblGrid>
        <w:gridCol w:w="4880"/>
        <w:gridCol w:w="75"/>
      </w:tblGrid>
      <w:tr>
        <w:trPr/>
        <w:tc>
          <w:tcPr>
            <w:tcW w:w="48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Sam Lai</w:t>
            </w:r>
          </w:p>
        </w:tc>
        <w:tc>
          <w:tcPr>
            <w:tcW w:w="7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8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Lai</w:t>
            </w:r>
          </w:p>
        </w:tc>
        <w:tc>
          <w:tcPr>
            <w:tcW w:w="7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48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and Interim Chief Financial Officer </w:t>
              <w:br/>
              <w:t>(principal financial officer)</w:t>
            </w:r>
          </w:p>
        </w:tc>
        <w:tc>
          <w:tcPr>
            <w:tcW w:w="7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30" w:name="ex32-1.htm"/>
      <w:bookmarkStart w:id="631" w:name="ksex321"/>
      <w:bookmarkEnd w:id="630"/>
      <w:bookmarkEnd w:id="63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Hour Loop, Inc. (the “Company”) for the quarter ended June 30, 2026 as filed with the Securities and Exchange Commission (the “Report”), I, Sam Lai, Chief Executive Officer and Interim Chief Financial Officer of the Company, certify, pursuant to 18 U.S.C. Section 1350, as adopted pursuant to Section 906 of the Sarbanes-Oxley Act of 2002, that to the best of my knowledge: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 of operations of the Company.</w:t>
      </w:r>
    </w:p>
    <w:p>
      <w:pPr>
        <w:pStyle w:val="TextBody"/>
        <w:bidi w:val="0"/>
        <w:spacing w:before="0" w:after="0"/>
        <w:ind w:left="0" w:right="0" w:hanging="0"/>
        <w:jc w:val="center"/>
        <w:rPr>
          <w:caps w:val="false"/>
          <w:smallCaps w:val="false"/>
        </w:rPr>
      </w:pPr>
      <w:r>
        <w:rPr>
          <w:caps w:val="false"/>
          <w:smallCaps w:val="false"/>
        </w:rPr>
        <w:t> </w:t>
      </w:r>
    </w:p>
    <w:tbl>
      <w:tblPr>
        <w:tblW w:w="6745" w:type="dxa"/>
        <w:jc w:val="left"/>
        <w:tblInd w:w="0" w:type="dxa"/>
        <w:tblLayout w:type="fixed"/>
        <w:tblCellMar>
          <w:top w:w="0" w:type="dxa"/>
          <w:left w:w="0" w:type="dxa"/>
          <w:bottom w:w="0" w:type="dxa"/>
          <w:right w:w="0" w:type="dxa"/>
        </w:tblCellMar>
      </w:tblPr>
      <w:tblGrid>
        <w:gridCol w:w="1865"/>
        <w:gridCol w:w="4880"/>
      </w:tblGrid>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488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Sam Lai</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 Lai</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4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Officer and Interim Chief Financial Officer </w:t>
              <w:br/>
              <w:t>(principal executive officer and principal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certification accompanies this Quarterly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74875/000149315226024174/ex10-1.htm" TargetMode="External"/><Relationship Id="rId3" Type="http://schemas.openxmlformats.org/officeDocument/2006/relationships/hyperlink" Target="https://www.sec.gov/Archives/edgar/data/1874875/000149315226024174/ex10-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20149</Words>
  <Characters>110085</Characters>
  <CharactersWithSpaces>131827</CharactersWithSpaces>
  <Paragraphs>5575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