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10-k.htm"/>
      <w:bookmarkStart w:id="1" w:name="ksform10k"/>
      <w:bookmarkEnd w:id="0"/>
      <w:bookmarkEnd w:id="1"/>
      <w:r>
        <w:rPr>
          <w:caps w:val="false"/>
          <w:smallCaps w:val="false"/>
        </w:rPr>
        <w:t> </w:t>
      </w:r>
    </w:p>
    <w:p>
      <w:pPr>
        <w:pStyle w:val="TextBody"/>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20101__20"/>
      <w:bookmarkEnd w:id="2"/>
      <w:r>
        <w:rPr>
          <w:rFonts w:ascii="Times New Roman;Times;Serif" w:hAnsi="Times New Roman;Times;Serif"/>
          <w:b/>
          <w:i w:val="false"/>
          <w:caps w:val="false"/>
          <w:smallCaps w:val="false"/>
          <w:sz w:val="36"/>
        </w:rPr>
        <w:t>10-K</w:t>
      </w:r>
    </w:p>
    <w:p>
      <w:pPr>
        <w:pStyle w:val="TextBody"/>
        <w:jc w:val="center"/>
        <w:rPr>
          <w:caps w:val="false"/>
          <w:smallCaps w:val="false"/>
        </w:rPr>
      </w:pPr>
      <w:r>
        <w:rPr>
          <w:caps w:val="false"/>
          <w:smallCaps w:val="false"/>
        </w:rPr>
        <w:t> </w:t>
      </w:r>
    </w:p>
    <w:tbl>
      <w:tblPr>
        <w:tblW w:w="9715" w:type="dxa"/>
        <w:jc w:val="left"/>
        <w:tblInd w:w="0" w:type="dxa"/>
        <w:tblCellMar>
          <w:top w:w="0" w:type="dxa"/>
          <w:left w:w="0" w:type="dxa"/>
          <w:bottom w:w="0" w:type="dxa"/>
          <w:right w:w="0" w:type="dxa"/>
        </w:tblCellMar>
      </w:tblPr>
      <w:tblGrid>
        <w:gridCol w:w="245"/>
        <w:gridCol w:w="9470"/>
      </w:tblGrid>
      <w:tr>
        <w:trPr/>
        <w:tc>
          <w:tcPr>
            <w:tcW w:w="245" w:type="dxa"/>
            <w:tcBorders/>
            <w:shd w:fill="auto" w:val="clear"/>
            <w:vAlign w:val="center"/>
          </w:tcPr>
          <w:p>
            <w:pPr>
              <w:pStyle w:val="TableContents"/>
              <w:spacing w:before="0" w:after="283"/>
              <w:rPr>
                <w:caps w:val="false"/>
                <w:smallCaps w:val="false"/>
              </w:rPr>
            </w:pPr>
            <w:bookmarkStart w:id="3" w:name="xdx_907_edei--DocumentAnnualReport_c2022"/>
            <w:bookmarkEnd w:id="3"/>
            <w:r>
              <w:rPr>
                <w:caps w:val="false"/>
                <w:smallCaps w:val="false"/>
              </w:rPr>
              <w:t>☒</w:t>
            </w:r>
          </w:p>
        </w:tc>
        <w:tc>
          <w:tcPr>
            <w:tcW w:w="947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6_edei--CurrentFiscalYearEndDate_c"/>
      <w:bookmarkStart w:id="5" w:name="xdx_90A_edei--DocumentPeriodEndDate_c202"/>
      <w:bookmarkEnd w:id="4"/>
      <w:bookmarkEnd w:id="5"/>
      <w:r>
        <w:rPr>
          <w:rFonts w:ascii="Times New Roman;Times;Serif" w:hAnsi="Times New Roman;Times;Serif"/>
          <w:b/>
          <w:i w:val="false"/>
          <w:caps w:val="false"/>
          <w:smallCaps w:val="false"/>
          <w:sz w:val="20"/>
          <w:u w:val="single"/>
        </w:rPr>
        <w:t xml:space="preserve">December 31, </w:t>
      </w:r>
      <w:bookmarkStart w:id="6" w:name="xdx_902_edei--DocumentFiscalYearFocus_c2"/>
      <w:bookmarkEnd w:id="6"/>
      <w:r>
        <w:rPr>
          <w:rFonts w:ascii="Times New Roman;Times;Serif" w:hAnsi="Times New Roman;Times;Serif"/>
          <w:b/>
          <w:i w:val="false"/>
          <w:caps w:val="false"/>
          <w:smallCaps w:val="false"/>
          <w:sz w:val="20"/>
          <w:u w:val="single"/>
        </w:rPr>
        <w:t>2022</w:t>
      </w:r>
    </w:p>
    <w:p>
      <w:pPr>
        <w:pStyle w:val="TextBody"/>
        <w:jc w:val="center"/>
        <w:rPr>
          <w:caps w:val="false"/>
          <w:smallCaps w:val="false"/>
        </w:rPr>
      </w:pPr>
      <w:r>
        <w:rPr>
          <w:caps w:val="false"/>
          <w:smallCaps w:val="false"/>
        </w:rPr>
        <w:t> </w:t>
      </w:r>
    </w:p>
    <w:tbl>
      <w:tblPr>
        <w:tblW w:w="10120" w:type="dxa"/>
        <w:jc w:val="left"/>
        <w:tblInd w:w="0" w:type="dxa"/>
        <w:tblCellMar>
          <w:top w:w="0" w:type="dxa"/>
          <w:left w:w="0" w:type="dxa"/>
          <w:bottom w:w="0" w:type="dxa"/>
          <w:right w:w="0" w:type="dxa"/>
        </w:tblCellMar>
      </w:tblPr>
      <w:tblGrid>
        <w:gridCol w:w="245"/>
        <w:gridCol w:w="9875"/>
      </w:tblGrid>
      <w:tr>
        <w:trPr/>
        <w:tc>
          <w:tcPr>
            <w:tcW w:w="245" w:type="dxa"/>
            <w:tcBorders/>
            <w:shd w:fill="auto" w:val="clear"/>
            <w:vAlign w:val="center"/>
          </w:tcPr>
          <w:p>
            <w:pPr>
              <w:pStyle w:val="TableContents"/>
              <w:spacing w:before="0" w:after="283"/>
              <w:rPr>
                <w:caps w:val="false"/>
                <w:smallCaps w:val="false"/>
              </w:rPr>
            </w:pPr>
            <w:bookmarkStart w:id="7" w:name="xdx_907_edei--DocumentTransitionReport_c"/>
            <w:bookmarkEnd w:id="7"/>
            <w:r>
              <w:rPr>
                <w:caps w:val="false"/>
                <w:smallCaps w:val="false"/>
              </w:rPr>
              <w:t>☐</w:t>
            </w:r>
          </w:p>
        </w:tc>
        <w:tc>
          <w:tcPr>
            <w:tcW w:w="987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 20 ____, to ______, 20_____.</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C_edei--EntityFileNumber_c20220101"/>
      <w:bookmarkEnd w:id="8"/>
      <w:r>
        <w:rPr>
          <w:rFonts w:ascii="Times New Roman;Times;Serif" w:hAnsi="Times New Roman;Times;Serif"/>
          <w:b/>
          <w:i w:val="false"/>
          <w:caps w:val="false"/>
          <w:smallCaps w:val="false"/>
          <w:sz w:val="20"/>
          <w:u w:val="single"/>
        </w:rPr>
        <w:t>001-41204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bookmarkStart w:id="9" w:name="xdx_903_edei--EntityRegistrantName_c2022"/>
      <w:bookmarkEnd w:id="9"/>
      <w:r>
        <w:rPr>
          <w:rFonts w:ascii="Times New Roman;Times;Serif" w:hAnsi="Times New Roman;Times;Serif"/>
          <w:b/>
          <w:i w:val="false"/>
          <w:caps w:val="false"/>
          <w:smallCaps w:val="false"/>
          <w:sz w:val="36"/>
        </w:rPr>
        <w:t>HOUR LOOP,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810" w:type="dxa"/>
        <w:jc w:val="left"/>
        <w:tblInd w:w="0" w:type="dxa"/>
        <w:tblCellMar>
          <w:top w:w="0" w:type="dxa"/>
          <w:left w:w="0" w:type="dxa"/>
          <w:bottom w:w="28" w:type="dxa"/>
          <w:right w:w="0" w:type="dxa"/>
        </w:tblCellMar>
      </w:tblPr>
      <w:tblGrid>
        <w:gridCol w:w="3215"/>
        <w:gridCol w:w="60"/>
        <w:gridCol w:w="1535"/>
      </w:tblGrid>
      <w:tr>
        <w:trPr/>
        <w:tc>
          <w:tcPr>
            <w:tcW w:w="3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0" w:name="xdx_905_edei--EntityIncorporationStateCo"/>
            <w:bookmarkEnd w:id="10"/>
            <w:r>
              <w:rPr>
                <w:rFonts w:ascii="Times New Roman;Times;Serif" w:hAnsi="Times New Roman;Times;Serif"/>
                <w:b/>
                <w:i w:val="false"/>
                <w:caps w:val="false"/>
                <w:smallCaps w:val="false"/>
                <w:sz w:val="20"/>
              </w:rPr>
              <w:t>Delaware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0_edei--EntityTaxIdentificationNum"/>
            <w:bookmarkEnd w:id="11"/>
            <w:r>
              <w:rPr>
                <w:rFonts w:ascii="Times New Roman;Times;Serif" w:hAnsi="Times New Roman;Times;Serif"/>
                <w:b/>
                <w:i w:val="false"/>
                <w:caps w:val="false"/>
                <w:smallCaps w:val="false"/>
                <w:sz w:val="20"/>
              </w:rPr>
              <w:t>47-2869399</w:t>
            </w:r>
          </w:p>
        </w:tc>
      </w:tr>
      <w:tr>
        <w:trPr/>
        <w:tc>
          <w:tcPr>
            <w:tcW w:w="321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1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215" w:type="dxa"/>
            <w:tcBorders>
              <w:bottom w:val="single" w:sz="12"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bookmarkStart w:id="12" w:name="xdx_908_edei--EntityAddressAddressLine1_"/>
            <w:bookmarkEnd w:id="12"/>
            <w:r>
              <w:rPr>
                <w:rFonts w:ascii="Times New Roman;Times;Serif" w:hAnsi="Times New Roman;Times;Serif"/>
                <w:b/>
                <w:i w:val="false"/>
                <w:caps w:val="false"/>
                <w:smallCaps w:val="false"/>
                <w:sz w:val="20"/>
              </w:rPr>
              <w:t>8201 164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Ave. NE</w:t>
            </w:r>
          </w:p>
          <w:p>
            <w:pPr>
              <w:pStyle w:val="TableContents"/>
              <w:spacing w:before="0" w:after="283"/>
              <w:jc w:val="center"/>
              <w:rPr>
                <w:rFonts w:ascii="Times New Roman;Times;Serif" w:hAnsi="Times New Roman;Times;Serif"/>
                <w:b/>
                <w:i w:val="false"/>
                <w:caps w:val="false"/>
                <w:smallCaps w:val="false"/>
                <w:sz w:val="20"/>
              </w:rPr>
            </w:pPr>
            <w:bookmarkStart w:id="13" w:name="xdx_90E_edei--EntityAddressCityOrTown_c2"/>
            <w:bookmarkEnd w:id="13"/>
            <w:r>
              <w:rPr>
                <w:rFonts w:ascii="Times New Roman;Times;Serif" w:hAnsi="Times New Roman;Times;Serif"/>
                <w:b/>
                <w:i w:val="false"/>
                <w:caps w:val="false"/>
                <w:smallCaps w:val="false"/>
                <w:sz w:val="20"/>
              </w:rPr>
              <w:t xml:space="preserve">Redmond, </w:t>
            </w:r>
            <w:bookmarkStart w:id="14" w:name="xdx_909_edei--EntityAddressStateOrProvin"/>
            <w:bookmarkEnd w:id="14"/>
            <w:r>
              <w:rPr>
                <w:rFonts w:ascii="Times New Roman;Times;Serif" w:hAnsi="Times New Roman;Times;Serif"/>
                <w:b/>
                <w:i w:val="false"/>
                <w:caps w:val="false"/>
                <w:smallCaps w:val="false"/>
                <w:sz w:val="20"/>
              </w:rPr>
              <w:t>VA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5" w:name="xdx_90F_edei--EntityAddressPostalZipCode"/>
            <w:bookmarkEnd w:id="15"/>
            <w:r>
              <w:rPr>
                <w:rFonts w:ascii="Times New Roman;Times;Serif" w:hAnsi="Times New Roman;Times;Serif"/>
                <w:b/>
                <w:i w:val="false"/>
                <w:caps w:val="false"/>
                <w:smallCaps w:val="false"/>
                <w:sz w:val="20"/>
              </w:rPr>
              <w:t>98052-7615</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6" w:name="xdx_902_edei--CityAreaCode_c20220101__20"/>
      <w:bookmarkEnd w:id="16"/>
      <w:r>
        <w:rPr>
          <w:rFonts w:ascii="Times New Roman;Times;Serif" w:hAnsi="Times New Roman;Times;Serif"/>
          <w:b/>
          <w:i w:val="false"/>
          <w:caps w:val="false"/>
          <w:smallCaps w:val="false"/>
          <w:sz w:val="20"/>
          <w:u w:val="single"/>
        </w:rPr>
        <w:t xml:space="preserve">206) </w:t>
      </w:r>
      <w:bookmarkStart w:id="17" w:name="xdx_904_edei--LocalPhoneNumber_c20220101"/>
      <w:bookmarkEnd w:id="17"/>
      <w:r>
        <w:rPr>
          <w:rFonts w:ascii="Times New Roman;Times;Serif" w:hAnsi="Times New Roman;Times;Serif"/>
          <w:b/>
          <w:i w:val="false"/>
          <w:caps w:val="false"/>
          <w:smallCaps w:val="false"/>
          <w:sz w:val="20"/>
          <w:u w:val="single"/>
        </w:rPr>
        <w:t>385-0488, ext. 100</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jc w:val="center"/>
        <w:rPr>
          <w:caps w:val="false"/>
          <w:smallCaps w:val="false"/>
        </w:rPr>
      </w:pPr>
      <w:r>
        <w:rPr>
          <w:caps w:val="false"/>
          <w:smallCaps w:val="false"/>
        </w:rPr>
        <w:t> </w:t>
      </w:r>
    </w:p>
    <w:tbl>
      <w:tblPr>
        <w:tblW w:w="6975" w:type="dxa"/>
        <w:jc w:val="left"/>
        <w:tblInd w:w="0" w:type="dxa"/>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5_edei--Security12bTitle_c20220101"/>
            <w:bookmarkEnd w:id="18"/>
            <w:r>
              <w:rPr>
                <w:rFonts w:ascii="Times New Roman;Times;Serif" w:hAnsi="Times New Roman;Times;Serif"/>
                <w:b w:val="false"/>
                <w:i w:val="false"/>
                <w:caps w:val="false"/>
                <w:smallCaps w:val="false"/>
                <w:sz w:val="20"/>
              </w:rPr>
              <w:t>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5_edei--TradingSymbol_c20220101__2"/>
            <w:bookmarkEnd w:id="19"/>
            <w:r>
              <w:rPr>
                <w:rFonts w:ascii="Times New Roman;Times;Serif" w:hAnsi="Times New Roman;Times;Serif"/>
                <w:b w:val="false"/>
                <w:i w:val="false"/>
                <w:caps w:val="false"/>
                <w:smallCaps w:val="false"/>
                <w:sz w:val="20"/>
              </w:rPr>
              <w:t>HOUR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2"/>
            <w:bookmarkEnd w:id="20"/>
            <w:r>
              <w:rPr>
                <w:rFonts w:ascii="Times New Roman;Times;Serif" w:hAnsi="Times New Roman;Times;Serif"/>
                <w:b w:val="false"/>
                <w:i w:val="false"/>
                <w:caps w:val="false"/>
                <w:smallCaps w:val="false"/>
                <w:sz w:val="20"/>
              </w:rPr>
              <w:t>Nasdaq Capital Market</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jc w:val="center"/>
        <w:rPr>
          <w:caps w:val="false"/>
          <w:smallCaps w:val="false"/>
        </w:rPr>
      </w:pPr>
      <w:r>
        <w:rPr>
          <w:caps w:val="false"/>
          <w:smallCaps w:val="false"/>
        </w:rPr>
        <w:t> </w:t>
      </w:r>
    </w:p>
    <w:tbl>
      <w:tblPr>
        <w:tblW w:w="1205" w:type="dxa"/>
        <w:jc w:val="left"/>
        <w:tblInd w:w="0" w:type="dxa"/>
        <w:tblCellMar>
          <w:top w:w="0" w:type="dxa"/>
          <w:left w:w="0" w:type="dxa"/>
          <w:bottom w:w="28" w:type="dxa"/>
          <w:right w:w="0" w:type="dxa"/>
        </w:tblCellMar>
      </w:tblPr>
      <w:tblGrid>
        <w:gridCol w:w="1205"/>
      </w:tblGrid>
      <w:tr>
        <w:trPr/>
        <w:tc>
          <w:tcPr>
            <w:tcW w:w="120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0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tc>
      </w:tr>
    </w:tbl>
    <w:p>
      <w:pPr>
        <w:pStyle w:val="TextBody"/>
        <w:jc w:val="center"/>
        <w:rPr>
          <w:caps w:val="false"/>
          <w:smallCaps w:val="false"/>
        </w:rPr>
      </w:pPr>
      <w:r>
        <w:rPr>
          <w:caps w:val="false"/>
          <w:smallCaps w:val="false"/>
        </w:rPr>
        <w:t> </w:t>
      </w:r>
    </w:p>
    <w:tbl>
      <w:tblPr>
        <w:tblW w:w="1205" w:type="dxa"/>
        <w:jc w:val="left"/>
        <w:tblInd w:w="0" w:type="dxa"/>
        <w:tblCellMar>
          <w:top w:w="0" w:type="dxa"/>
          <w:left w:w="0" w:type="dxa"/>
          <w:bottom w:w="28" w:type="dxa"/>
          <w:right w:w="0" w:type="dxa"/>
        </w:tblCellMar>
      </w:tblPr>
      <w:tblGrid>
        <w:gridCol w:w="1205"/>
      </w:tblGrid>
      <w:tr>
        <w:trPr/>
        <w:tc>
          <w:tcPr>
            <w:tcW w:w="120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0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1" w:name="xdx_90C_edei--EntityWellKnownSeasonedIss"/>
      <w:bookmarkEnd w:id="21"/>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2" w:name="xdx_90A_edei--EntityVoluntaryFilers_c202"/>
      <w:bookmarkEnd w:id="22"/>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2_edei--EntityCurrentReportingStat"/>
      <w:bookmarkEnd w:id="23"/>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4" w:name="xdx_90B_edei--EntityInteractiveDataCurre"/>
      <w:bookmarkEnd w:id="24"/>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jc w:val="both"/>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835"/>
        <w:gridCol w:w="230"/>
        <w:gridCol w:w="2225"/>
        <w:gridCol w:w="245"/>
      </w:tblGrid>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auto" w:val="clear"/>
            <w:vAlign w:val="center"/>
          </w:tcPr>
          <w:p>
            <w:pPr>
              <w:pStyle w:val="TableContents"/>
              <w:spacing w:before="0" w:after="283"/>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5" w:name="xdx_90F_edei--EntityFilerCategory_c20220"/>
            <w:bookmarkEnd w:id="25"/>
            <w:r>
              <w:rPr>
                <w:rFonts w:ascii="Times New Roman;Times;Serif" w:hAnsi="Times New Roman;Times;Serif"/>
                <w:b w:val="false"/>
                <w:i w:val="false"/>
                <w:caps w:val="false"/>
                <w:smallCaps w:val="false"/>
                <w:sz w:val="20"/>
              </w:rPr>
              <w:t>Non-accelerated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auto" w:val="clear"/>
            <w:vAlign w:val="center"/>
          </w:tcPr>
          <w:p>
            <w:pPr>
              <w:pStyle w:val="TableContents"/>
              <w:spacing w:before="0" w:after="283"/>
              <w:rPr>
                <w:caps w:val="false"/>
                <w:smallCaps w:val="false"/>
              </w:rPr>
            </w:pPr>
            <w:bookmarkStart w:id="26" w:name="xdx_902_edei--EntitySmallBusiness_c20220"/>
            <w:bookmarkEnd w:id="26"/>
            <w:r>
              <w:rPr>
                <w:caps w:val="false"/>
                <w:smallCaps w:val="false"/>
              </w:rPr>
              <w:t>☒</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auto" w:val="clear"/>
            <w:vAlign w:val="center"/>
          </w:tcPr>
          <w:p>
            <w:pPr>
              <w:pStyle w:val="TableContents"/>
              <w:spacing w:before="0" w:after="283"/>
              <w:rPr>
                <w:caps w:val="false"/>
                <w:smallCaps w:val="false"/>
              </w:rPr>
            </w:pPr>
            <w:bookmarkStart w:id="27" w:name="xdx_901_edei--EntityEmergingGrowthCompan"/>
            <w:bookmarkEnd w:id="27"/>
            <w:r>
              <w:rPr>
                <w:caps w:val="false"/>
                <w:smallCaps w:val="false"/>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7_edei--EntityExTransitionPeriod_c"/>
      <w:bookmarkEnd w:id="28"/>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0_edei--IcfrAuditorAttestationFlag"/>
      <w:bookmarkEnd w:id="29"/>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30" w:name="xdx_90E_edei--EntityShellCompany_c202201"/>
      <w:bookmarkEnd w:id="30"/>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based upon the closing price of $2.55 per share of common stock as of June 30, 2022 (the last business day of the registrant’s most recently completed second fiscal quarter) was $</w:t>
      </w:r>
      <w:bookmarkStart w:id="31" w:name="xdx_90B_edei--EntityPublicFloat_iI_c2022"/>
      <w:bookmarkEnd w:id="31"/>
      <w:r>
        <w:rPr>
          <w:rFonts w:ascii="Times New Roman;Times;Serif" w:hAnsi="Times New Roman;Times;Serif"/>
          <w:b w:val="false"/>
          <w:i w:val="false"/>
          <w:caps w:val="false"/>
          <w:smallCaps w:val="false"/>
          <w:sz w:val="20"/>
        </w:rPr>
        <w:t>89,358,574.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there were </w:t>
      </w:r>
      <w:bookmarkStart w:id="32" w:name="xdx_90C_edei--EntityCommonStockSharesOut"/>
      <w:bookmarkEnd w:id="32"/>
      <w:r>
        <w:rPr>
          <w:rFonts w:ascii="Times New Roman;Times;Serif" w:hAnsi="Times New Roman;Times;Serif"/>
          <w:b w:val="false"/>
          <w:i w:val="false"/>
          <w:caps w:val="false"/>
          <w:smallCaps w:val="false"/>
          <w:sz w:val="20"/>
        </w:rPr>
        <w:t>35,047,828 shares of common stock, par value $0.0001 per share, of the registrant issued and outstanding.</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2"/>
        <w:gridCol w:w="8983"/>
        <w:gridCol w:w="500"/>
      </w:tblGrid>
      <w:tr>
        <w:trPr/>
        <w:tc>
          <w:tcPr>
            <w:tcW w:w="9705" w:type="dxa"/>
            <w:gridSpan w:val="2"/>
            <w:tcBorders/>
            <w:shd w:fill="FFFFFF" w:val="clear"/>
            <w:vAlign w:val="center"/>
          </w:tcPr>
          <w:p>
            <w:pPr>
              <w:pStyle w:val="TableContents"/>
              <w:spacing w:before="0" w:after="283"/>
              <w:jc w:val="both"/>
              <w:rPr>
                <w:caps w:val="false"/>
                <w:smallCaps w:val="false"/>
              </w:rPr>
            </w:pPr>
            <w:r>
              <w:rPr>
                <w:caps w:val="false"/>
                <w:smallCaps w:val="false"/>
              </w:rPr>
              <w:t> </w:t>
            </w:r>
          </w:p>
        </w:tc>
        <w:tc>
          <w:tcPr>
            <w:tcW w:w="500" w:type="dxa"/>
            <w:tcBorders>
              <w:bottom w:val="single" w:sz="1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9705" w:type="dxa"/>
            <w:gridSpan w:val="2"/>
            <w:tcBorders/>
            <w:shd w:fill="CCEEFF" w:val="clear"/>
            <w:vAlign w:val="center"/>
          </w:tcPr>
          <w:p>
            <w:pPr>
              <w:pStyle w:val="TableContents"/>
              <w:spacing w:before="0" w:after="283"/>
              <w:jc w:val="center"/>
              <w:rPr/>
            </w:pPr>
            <w:hyperlink w:anchor="S1_001">
              <w:r>
                <w:rPr>
                  <w:rStyle w:val="InternetLink"/>
                  <w:rFonts w:ascii="Times New Roman;Times;Serif" w:hAnsi="Times New Roman;Times;Serif"/>
                  <w:b/>
                  <w:i w:val="false"/>
                  <w:caps w:val="false"/>
                  <w:smallCaps w:val="false"/>
                  <w:sz w:val="20"/>
                </w:rPr>
                <w:t>Part I</w:t>
              </w:r>
            </w:hyperlink>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83" w:type="dxa"/>
            <w:tcBorders/>
            <w:shd w:fill="CCEEFF" w:val="clear"/>
            <w:vAlign w:val="center"/>
          </w:tcPr>
          <w:p>
            <w:pPr>
              <w:pStyle w:val="TableContents"/>
              <w:spacing w:before="0" w:after="283"/>
              <w:jc w:val="both"/>
              <w:rPr/>
            </w:pPr>
            <w:hyperlink w:anchor="S1_002">
              <w:r>
                <w:rPr>
                  <w:rStyle w:val="InternetLink"/>
                  <w:rFonts w:ascii="Times New Roman;Times;Serif" w:hAnsi="Times New Roman;Times;Serif"/>
                  <w:b w:val="false"/>
                  <w:i w:val="false"/>
                  <w:caps w:val="false"/>
                  <w:smallCaps w:val="false"/>
                  <w:sz w:val="20"/>
                </w:rPr>
                <w:t>Business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83" w:type="dxa"/>
            <w:tcBorders/>
            <w:shd w:fill="FFFFFF" w:val="clear"/>
            <w:vAlign w:val="center"/>
          </w:tcPr>
          <w:p>
            <w:pPr>
              <w:pStyle w:val="TableContents"/>
              <w:spacing w:before="0" w:after="283"/>
              <w:jc w:val="both"/>
              <w:rPr/>
            </w:pPr>
            <w:hyperlink w:anchor="S1_003">
              <w:r>
                <w:rPr>
                  <w:rStyle w:val="InternetLink"/>
                  <w:rFonts w:ascii="Times New Roman;Times;Serif" w:hAnsi="Times New Roman;Times;Serif"/>
                  <w:b w:val="false"/>
                  <w:i w:val="false"/>
                  <w:caps w:val="false"/>
                  <w:smallCaps w:val="false"/>
                  <w:sz w:val="20"/>
                </w:rPr>
                <w:t>Risk Factors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983" w:type="dxa"/>
            <w:tcBorders/>
            <w:shd w:fill="CCEEFF" w:val="clear"/>
            <w:vAlign w:val="center"/>
          </w:tcPr>
          <w:p>
            <w:pPr>
              <w:pStyle w:val="TableContents"/>
              <w:spacing w:before="0" w:after="283"/>
              <w:jc w:val="both"/>
              <w:rPr/>
            </w:pPr>
            <w:hyperlink w:anchor="S1_004">
              <w:r>
                <w:rPr>
                  <w:rStyle w:val="InternetLink"/>
                  <w:rFonts w:ascii="Times New Roman;Times;Serif" w:hAnsi="Times New Roman;Times;Serif"/>
                  <w:b w:val="false"/>
                  <w:i w:val="false"/>
                  <w:caps w:val="false"/>
                  <w:smallCaps w:val="false"/>
                  <w:sz w:val="20"/>
                </w:rPr>
                <w:t>Unresolved Staff Comments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83" w:type="dxa"/>
            <w:tcBorders/>
            <w:shd w:fill="FFFFFF" w:val="clear"/>
            <w:vAlign w:val="center"/>
          </w:tcPr>
          <w:p>
            <w:pPr>
              <w:pStyle w:val="TableContents"/>
              <w:spacing w:before="0" w:after="283"/>
              <w:jc w:val="both"/>
              <w:rPr/>
            </w:pPr>
            <w:hyperlink w:anchor="S1_005">
              <w:r>
                <w:rPr>
                  <w:rStyle w:val="InternetLink"/>
                  <w:rFonts w:ascii="Times New Roman;Times;Serif" w:hAnsi="Times New Roman;Times;Serif"/>
                  <w:b w:val="false"/>
                  <w:i w:val="false"/>
                  <w:caps w:val="false"/>
                  <w:smallCaps w:val="false"/>
                  <w:sz w:val="20"/>
                </w:rPr>
                <w:t>Properties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83" w:type="dxa"/>
            <w:tcBorders/>
            <w:shd w:fill="CCEEFF" w:val="clear"/>
            <w:vAlign w:val="center"/>
          </w:tcPr>
          <w:p>
            <w:pPr>
              <w:pStyle w:val="TableContents"/>
              <w:spacing w:before="0" w:after="283"/>
              <w:jc w:val="both"/>
              <w:rPr/>
            </w:pPr>
            <w:hyperlink w:anchor="S1_006">
              <w:r>
                <w:rPr>
                  <w:rStyle w:val="InternetLink"/>
                  <w:rFonts w:ascii="Times New Roman;Times;Serif" w:hAnsi="Times New Roman;Times;Serif"/>
                  <w:b w:val="false"/>
                  <w:i w:val="false"/>
                  <w:caps w:val="false"/>
                  <w:smallCaps w:val="false"/>
                  <w:sz w:val="20"/>
                </w:rPr>
                <w:t>Legal Proceedings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83" w:type="dxa"/>
            <w:tcBorders/>
            <w:shd w:fill="FFFFFF" w:val="clear"/>
            <w:vAlign w:val="center"/>
          </w:tcPr>
          <w:p>
            <w:pPr>
              <w:pStyle w:val="TableContents"/>
              <w:spacing w:before="0" w:after="283"/>
              <w:jc w:val="both"/>
              <w:rPr/>
            </w:pPr>
            <w:hyperlink w:anchor="S1_007">
              <w:r>
                <w:rPr>
                  <w:rStyle w:val="InternetLink"/>
                  <w:rFonts w:ascii="Times New Roman;Times;Serif" w:hAnsi="Times New Roman;Times;Serif"/>
                  <w:b w:val="false"/>
                  <w:i w:val="false"/>
                  <w:caps w:val="false"/>
                  <w:smallCaps w:val="false"/>
                  <w:sz w:val="20"/>
                </w:rPr>
                <w:t>Mine Safety Disclosures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9705" w:type="dxa"/>
            <w:gridSpan w:val="2"/>
            <w:tcBorders/>
            <w:shd w:fill="FFFFFF" w:val="clear"/>
            <w:vAlign w:val="center"/>
          </w:tcPr>
          <w:p>
            <w:pPr>
              <w:pStyle w:val="TableContents"/>
              <w:spacing w:before="0" w:after="283"/>
              <w:jc w:val="center"/>
              <w:rPr/>
            </w:pPr>
            <w:hyperlink w:anchor="S1_008">
              <w:r>
                <w:rPr>
                  <w:rStyle w:val="InternetLink"/>
                  <w:rFonts w:ascii="Times New Roman;Times;Serif" w:hAnsi="Times New Roman;Times;Serif"/>
                  <w:b/>
                  <w:i w:val="false"/>
                  <w:caps w:val="false"/>
                  <w:smallCaps w:val="false"/>
                  <w:sz w:val="20"/>
                </w:rPr>
                <w:t>Part II</w:t>
              </w:r>
            </w:hyperlink>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83" w:type="dxa"/>
            <w:tcBorders/>
            <w:shd w:fill="FFFFFF" w:val="clear"/>
            <w:vAlign w:val="center"/>
          </w:tcPr>
          <w:p>
            <w:pPr>
              <w:pStyle w:val="TableContents"/>
              <w:spacing w:before="0" w:after="283"/>
              <w:jc w:val="both"/>
              <w:rPr/>
            </w:pPr>
            <w:hyperlink w:anchor="S1_009">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83" w:type="dxa"/>
            <w:tcBorders/>
            <w:shd w:fill="CCEEFF" w:val="clear"/>
            <w:vAlign w:val="center"/>
          </w:tcPr>
          <w:p>
            <w:pPr>
              <w:pStyle w:val="TableContents"/>
              <w:spacing w:before="0" w:after="283"/>
              <w:jc w:val="both"/>
              <w:rPr/>
            </w:pPr>
            <w:hyperlink w:anchor="S1_010">
              <w:r>
                <w:rPr>
                  <w:rStyle w:val="InternetLink"/>
                  <w:rFonts w:ascii="Times New Roman;Times;Serif" w:hAnsi="Times New Roman;Times;Serif"/>
                  <w:b w:val="false"/>
                  <w:i w:val="false"/>
                  <w:caps w:val="false"/>
                  <w:smallCaps w:val="false"/>
                  <w:sz w:val="20"/>
                </w:rPr>
                <w:t>Reserved</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983" w:type="dxa"/>
            <w:tcBorders/>
            <w:shd w:fill="FFFFFF" w:val="clear"/>
            <w:vAlign w:val="center"/>
          </w:tcPr>
          <w:p>
            <w:pPr>
              <w:pStyle w:val="TableContents"/>
              <w:spacing w:before="0" w:after="283"/>
              <w:jc w:val="both"/>
              <w:rPr/>
            </w:pPr>
            <w:hyperlink w:anchor="S1_01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983" w:type="dxa"/>
            <w:tcBorders/>
            <w:shd w:fill="CCEEFF" w:val="clear"/>
            <w:vAlign w:val="center"/>
          </w:tcPr>
          <w:p>
            <w:pPr>
              <w:pStyle w:val="TableContents"/>
              <w:spacing w:before="0" w:after="283"/>
              <w:jc w:val="both"/>
              <w:rPr/>
            </w:pPr>
            <w:hyperlink w:anchor="S1_0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983" w:type="dxa"/>
            <w:tcBorders/>
            <w:shd w:fill="FFFFFF" w:val="clear"/>
            <w:vAlign w:val="center"/>
          </w:tcPr>
          <w:p>
            <w:pPr>
              <w:pStyle w:val="TableContents"/>
              <w:spacing w:before="0" w:after="283"/>
              <w:jc w:val="both"/>
              <w:rPr/>
            </w:pPr>
            <w:hyperlink w:anchor="S1_013">
              <w:r>
                <w:rPr>
                  <w:rStyle w:val="InternetLink"/>
                  <w:rFonts w:ascii="Times New Roman;Times;Serif" w:hAnsi="Times New Roman;Times;Serif"/>
                  <w:b w:val="false"/>
                  <w:i w:val="false"/>
                  <w:caps w:val="false"/>
                  <w:smallCaps w:val="false"/>
                  <w:sz w:val="20"/>
                </w:rPr>
                <w:t>Financial Statements and Supplementary Data</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983" w:type="dxa"/>
            <w:tcBorders/>
            <w:shd w:fill="CCEEFF" w:val="clear"/>
            <w:vAlign w:val="center"/>
          </w:tcPr>
          <w:p>
            <w:pPr>
              <w:pStyle w:val="TableContents"/>
              <w:spacing w:before="0" w:after="283"/>
              <w:jc w:val="both"/>
              <w:rPr/>
            </w:pPr>
            <w:hyperlink w:anchor="S1_014">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983" w:type="dxa"/>
            <w:tcBorders/>
            <w:shd w:fill="FFFFFF" w:val="clear"/>
            <w:vAlign w:val="center"/>
          </w:tcPr>
          <w:p>
            <w:pPr>
              <w:pStyle w:val="TableContents"/>
              <w:spacing w:before="0" w:after="283"/>
              <w:jc w:val="both"/>
              <w:rPr/>
            </w:pPr>
            <w:hyperlink w:anchor="S1_015">
              <w:r>
                <w:rPr>
                  <w:rStyle w:val="InternetLink"/>
                  <w:rFonts w:ascii="Times New Roman;Times;Serif" w:hAnsi="Times New Roman;Times;Serif"/>
                  <w:b w:val="false"/>
                  <w:i w:val="false"/>
                  <w:caps w:val="false"/>
                  <w:smallCaps w:val="false"/>
                  <w:sz w:val="20"/>
                </w:rPr>
                <w:t>Controls and Procedures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983" w:type="dxa"/>
            <w:tcBorders/>
            <w:shd w:fill="CCEEFF" w:val="clear"/>
            <w:vAlign w:val="center"/>
          </w:tcPr>
          <w:p>
            <w:pPr>
              <w:pStyle w:val="TableContents"/>
              <w:spacing w:before="0" w:after="283"/>
              <w:jc w:val="both"/>
              <w:rPr/>
            </w:pPr>
            <w:hyperlink w:anchor="S1_016">
              <w:r>
                <w:rPr>
                  <w:rStyle w:val="InternetLink"/>
                  <w:rFonts w:ascii="Times New Roman;Times;Serif" w:hAnsi="Times New Roman;Times;Serif"/>
                  <w:b w:val="false"/>
                  <w:i w:val="false"/>
                  <w:caps w:val="false"/>
                  <w:smallCaps w:val="false"/>
                  <w:sz w:val="20"/>
                </w:rPr>
                <w:t>Other Information</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983" w:type="dxa"/>
            <w:tcBorders/>
            <w:shd w:fill="FFFFFF" w:val="clear"/>
            <w:vAlign w:val="center"/>
          </w:tcPr>
          <w:p>
            <w:pPr>
              <w:pStyle w:val="TableContents"/>
              <w:spacing w:before="0" w:after="283"/>
              <w:jc w:val="both"/>
              <w:rPr/>
            </w:pPr>
            <w:hyperlink w:anchor="S1_017">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9705" w:type="dxa"/>
            <w:gridSpan w:val="2"/>
            <w:tcBorders/>
            <w:shd w:fill="FFFFFF" w:val="clear"/>
            <w:vAlign w:val="center"/>
          </w:tcPr>
          <w:p>
            <w:pPr>
              <w:pStyle w:val="TableContents"/>
              <w:spacing w:before="0" w:after="283"/>
              <w:jc w:val="center"/>
              <w:rPr/>
            </w:pPr>
            <w:hyperlink w:anchor="S1_018">
              <w:r>
                <w:rPr>
                  <w:rStyle w:val="InternetLink"/>
                  <w:rFonts w:ascii="Times New Roman;Times;Serif" w:hAnsi="Times New Roman;Times;Serif"/>
                  <w:b/>
                  <w:i w:val="false"/>
                  <w:caps w:val="false"/>
                  <w:smallCaps w:val="false"/>
                  <w:sz w:val="20"/>
                </w:rPr>
                <w:t>Part III</w:t>
              </w:r>
            </w:hyperlink>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983" w:type="dxa"/>
            <w:tcBorders/>
            <w:shd w:fill="FFFFFF" w:val="clear"/>
            <w:vAlign w:val="center"/>
          </w:tcPr>
          <w:p>
            <w:pPr>
              <w:pStyle w:val="TableContents"/>
              <w:spacing w:before="0" w:after="283"/>
              <w:jc w:val="both"/>
              <w:rPr/>
            </w:pPr>
            <w:hyperlink w:anchor="S1_01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983" w:type="dxa"/>
            <w:tcBorders/>
            <w:shd w:fill="CCEEFF" w:val="clear"/>
            <w:vAlign w:val="center"/>
          </w:tcPr>
          <w:p>
            <w:pPr>
              <w:pStyle w:val="TableContents"/>
              <w:spacing w:before="0" w:after="283"/>
              <w:jc w:val="both"/>
              <w:rPr/>
            </w:pPr>
            <w:hyperlink w:anchor="AR_028">
              <w:r>
                <w:rPr>
                  <w:rStyle w:val="InternetLink"/>
                  <w:rFonts w:ascii="Times New Roman;Times;Serif" w:hAnsi="Times New Roman;Times;Serif"/>
                  <w:b w:val="false"/>
                  <w:i w:val="false"/>
                  <w:caps w:val="false"/>
                  <w:smallCaps w:val="false"/>
                  <w:sz w:val="20"/>
                </w:rPr>
                <w:t>Executive Compensation</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983" w:type="dxa"/>
            <w:tcBorders/>
            <w:shd w:fill="FFFFFF" w:val="clear"/>
            <w:vAlign w:val="center"/>
          </w:tcPr>
          <w:p>
            <w:pPr>
              <w:pStyle w:val="TableContents"/>
              <w:spacing w:before="0" w:after="283"/>
              <w:jc w:val="both"/>
              <w:rPr/>
            </w:pPr>
            <w:hyperlink w:anchor="AR_029">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983" w:type="dxa"/>
            <w:tcBorders/>
            <w:shd w:fill="CCEEFF" w:val="clear"/>
            <w:vAlign w:val="center"/>
          </w:tcPr>
          <w:p>
            <w:pPr>
              <w:pStyle w:val="TableContents"/>
              <w:spacing w:before="0" w:after="283"/>
              <w:jc w:val="both"/>
              <w:rPr/>
            </w:pPr>
            <w:hyperlink w:anchor="AR_03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983" w:type="dxa"/>
            <w:tcBorders/>
            <w:shd w:fill="FFFFFF" w:val="clear"/>
            <w:vAlign w:val="center"/>
          </w:tcPr>
          <w:p>
            <w:pPr>
              <w:pStyle w:val="TableContents"/>
              <w:spacing w:before="0" w:after="283"/>
              <w:jc w:val="both"/>
              <w:rPr/>
            </w:pPr>
            <w:hyperlink w:anchor="AR_031">
              <w:r>
                <w:rPr>
                  <w:rStyle w:val="InternetLink"/>
                  <w:rFonts w:ascii="Times New Roman;Times;Serif" w:hAnsi="Times New Roman;Times;Serif"/>
                  <w:b w:val="false"/>
                  <w:i w:val="false"/>
                  <w:caps w:val="false"/>
                  <w:smallCaps w:val="false"/>
                  <w:sz w:val="20"/>
                </w:rPr>
                <w:t>Principal Accountant Fees and Services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9705" w:type="dxa"/>
            <w:gridSpan w:val="2"/>
            <w:tcBorders/>
            <w:shd w:fill="FFFFFF" w:val="clear"/>
            <w:vAlign w:val="center"/>
          </w:tcPr>
          <w:p>
            <w:pPr>
              <w:pStyle w:val="TableContents"/>
              <w:spacing w:before="0" w:after="283"/>
              <w:jc w:val="center"/>
              <w:rPr/>
            </w:pPr>
            <w:hyperlink w:anchor="AR_033">
              <w:r>
                <w:rPr>
                  <w:rStyle w:val="InternetLink"/>
                  <w:rFonts w:ascii="Times New Roman;Times;Serif" w:hAnsi="Times New Roman;Times;Serif"/>
                  <w:b/>
                  <w:i w:val="false"/>
                  <w:caps w:val="false"/>
                  <w:smallCaps w:val="false"/>
                  <w:sz w:val="20"/>
                </w:rPr>
                <w:t>Part IV</w:t>
              </w:r>
            </w:hyperlink>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983" w:type="dxa"/>
            <w:tcBorders/>
            <w:shd w:fill="FFFFFF" w:val="clear"/>
            <w:vAlign w:val="center"/>
          </w:tcPr>
          <w:p>
            <w:pPr>
              <w:pStyle w:val="TableContents"/>
              <w:spacing w:before="0" w:after="283"/>
              <w:jc w:val="both"/>
              <w:rPr/>
            </w:pPr>
            <w:hyperlink w:anchor="AR_032">
              <w:r>
                <w:rPr>
                  <w:rStyle w:val="InternetLink"/>
                  <w:rFonts w:ascii="Times New Roman;Times;Serif" w:hAnsi="Times New Roman;Times;Serif"/>
                  <w:b w:val="false"/>
                  <w:i w:val="false"/>
                  <w:caps w:val="false"/>
                  <w:smallCaps w:val="false"/>
                  <w:sz w:val="20"/>
                </w:rPr>
                <w:t>Exhibit and Financial Statement Schedules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22"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983" w:type="dxa"/>
            <w:tcBorders/>
            <w:shd w:fill="CCEEFF" w:val="clear"/>
            <w:vAlign w:val="center"/>
          </w:tcPr>
          <w:p>
            <w:pPr>
              <w:pStyle w:val="TableContents"/>
              <w:spacing w:before="0" w:after="283"/>
              <w:jc w:val="both"/>
              <w:rPr/>
            </w:pPr>
            <w:hyperlink w:anchor="AR_034">
              <w:r>
                <w:rPr>
                  <w:rStyle w:val="InternetLink"/>
                  <w:rFonts w:ascii="Times New Roman;Times;Serif" w:hAnsi="Times New Roman;Times;Serif"/>
                  <w:b w:val="false"/>
                  <w:i w:val="false"/>
                  <w:caps w:val="false"/>
                  <w:smallCaps w:val="false"/>
                  <w:sz w:val="20"/>
                </w:rPr>
                <w:t>Form 10-K Summary</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22"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jc w:val="both"/>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both"/>
              <w:rPr/>
            </w:pPr>
            <w:hyperlink w:anchor="a_001">
              <w:r>
                <w:rPr>
                  <w:rStyle w:val="InternetLink"/>
                  <w:rFonts w:ascii="Times New Roman;Times;Serif" w:hAnsi="Times New Roman;Times;Serif"/>
                  <w:b w:val="false"/>
                  <w:i w:val="false"/>
                  <w:caps w:val="false"/>
                  <w:smallCaps w:val="false"/>
                  <w:sz w:val="20"/>
                </w:rPr>
                <w:t>Signatures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bl>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pStyle w:val="TextBody"/>
        <w:ind w:left="108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our products and services;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markets;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additional capital;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personnel;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the captions “Business,” “Risk Factors,” and “Management’s Discussion and Analysis of Financial Condition and Results of Operations.”</w:t>
            </w:r>
          </w:p>
        </w:tc>
      </w:tr>
    </w:tbl>
    <w:p>
      <w:pPr>
        <w:pStyle w:val="TextBody"/>
        <w:ind w:left="0" w:right="0" w:firstLine="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3" w:name="S1_001"/>
      <w:bookmarkEnd w:id="33"/>
      <w:r>
        <w:rPr>
          <w:rFonts w:ascii="Times New Roman;Times;Serif" w:hAnsi="Times New Roman;Times;Serif"/>
          <w:b/>
          <w:i w:val="false"/>
          <w:caps w:val="false"/>
          <w:smallCaps w:val="false"/>
          <w:sz w:val="20"/>
        </w:rPr>
        <w:t>PART 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4" w:name="S1_002"/>
      <w:bookmarkEnd w:id="34"/>
      <w:r>
        <w:rPr>
          <w:rFonts w:ascii="Times New Roman;Times;Serif" w:hAnsi="Times New Roman;Times;Serif"/>
          <w:b/>
          <w:i w:val="false"/>
          <w:caps w:val="false"/>
          <w:smallCaps w:val="false"/>
          <w:sz w:val="20"/>
        </w:rPr>
        <w:t>ITEM 1. BUSINESS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highlight w:val="white"/>
        </w:rPr>
        <w:t xml:space="preserve">This Business section, along with other sections of 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that these industry publications and third-party research, surveys and studies are reliable, we have not independently verified such data and we do not make any representation as to the accuracy of the information. </w:t>
      </w:r>
      <w:r>
        <w:rPr>
          <w:rFonts w:ascii="Times New Roman;Times;Serif" w:hAnsi="Times New Roman;Times;Serif"/>
          <w:b w:val="false"/>
          <w:i/>
          <w:caps w:val="false"/>
          <w:smallCaps w:val="false"/>
          <w:sz w:val="20"/>
        </w:rPr>
        <w:t>Unless the context otherwise requires, “Hour Loop,” “we,” “us,” “our,” or the “Company” refers to Hour Loop, Inc. and its consolidated subsidiaries.</w:t>
      </w:r>
    </w:p>
    <w:p>
      <w:pPr>
        <w:pStyle w:val="TextBody"/>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online retailer engaged in e-commerce retailing in the U.S. market. We have operated as a third-party seller on </w:t>
      </w:r>
      <w:r>
        <w:rPr>
          <w:rFonts w:ascii="Times New Roman;Times;Serif" w:hAnsi="Times New Roman;Times;Serif"/>
          <w:b w:val="false"/>
          <w:i/>
          <w:caps w:val="false"/>
          <w:smallCaps w:val="false"/>
          <w:sz w:val="20"/>
        </w:rPr>
        <w:t xml:space="preserve">www.amazon.com </w:t>
      </w:r>
      <w:r>
        <w:rPr>
          <w:rFonts w:ascii="Times New Roman;Times;Serif" w:hAnsi="Times New Roman;Times;Serif"/>
          <w:b w:val="false"/>
          <w:i w:val="false"/>
          <w:caps w:val="false"/>
          <w:smallCaps w:val="false"/>
          <w:sz w:val="20"/>
        </w:rPr>
        <w:t xml:space="preserve">since 2013. We have also sold merchandise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since 2013. We expanded our operations to other marketplaces such as Walmart, eBay and Etsy in the third quarter of 2020, 2022, and 2022, respectively. To date, we have generated practically all of our revenue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and only a negligible amount of revenue from our operations on our website at www.hourloop.com and as a third-party seller on other marketplaces. We manage more than 100,000 stock-keeping units (“SKUs”). Product categories include home/garden décor, toys, kitchenware, apparels, and electronics. Our primary strategy is to bring most of our vendors product selections to the customers. We have advanced software that assists us in identifying product gaps so we can keep such products in stock year-round including the entirety of the last quarter (holiday season) of the calendar year (“Q4”). In upcoming years, we plan to expand our business by increasing the number of business managers, vendors and SKUs while improving on profitability.</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Model</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t>
      </w:r>
      <w:r>
        <w:rPr>
          <w:rFonts w:ascii="Times New Roman;Times;Serif" w:hAnsi="Times New Roman;Times;Serif"/>
          <w:b w:val="false"/>
          <w:i/>
          <w:caps w:val="false"/>
          <w:smallCaps w:val="false"/>
          <w:sz w:val="20"/>
        </w:rPr>
        <w:t>www.walmart.com</w:t>
      </w:r>
      <w:r>
        <w:rPr>
          <w:rFonts w:ascii="Times New Roman;Times;Serif" w:hAnsi="Times New Roman;Times;Serif"/>
          <w:b w:val="false"/>
          <w:i w:val="false"/>
          <w:caps w:val="false"/>
          <w:smallCaps w:val="false"/>
          <w:sz w:val="20"/>
        </w:rPr>
        <w:t>.</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selling via a wholesale model:</w:t>
      </w:r>
    </w:p>
    <w:p>
      <w:pPr>
        <w:pStyle w:val="TextBody"/>
        <w:shd w:fill="FFFFFF" w:val="clear"/>
        <w:ind w:left="0" w:right="0" w:firstLine="720"/>
        <w:jc w:val="both"/>
        <w:rPr>
          <w:caps w:val="false"/>
          <w:smallCaps w:val="false"/>
        </w:rPr>
      </w:pPr>
      <w:r>
        <w:rPr>
          <w:caps w:val="false"/>
          <w:smallCaps w:val="false"/>
        </w:rPr>
        <w:t> </w:t>
      </w:r>
    </w:p>
    <w:tbl>
      <w:tblPr>
        <w:tblW w:w="8440" w:type="dxa"/>
        <w:jc w:val="left"/>
        <w:tblInd w:w="0" w:type="dxa"/>
        <w:tblCellMar>
          <w:top w:w="0" w:type="dxa"/>
          <w:left w:w="0" w:type="dxa"/>
          <w:bottom w:w="0" w:type="dxa"/>
          <w:right w:w="0" w:type="dxa"/>
        </w:tblCellMar>
      </w:tblPr>
      <w:tblGrid>
        <w:gridCol w:w="75"/>
        <w:gridCol w:w="170"/>
        <w:gridCol w:w="819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lower unit quantities with wholesale orders than private label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wholesale is less time intensive and easier to scale than sourcing products via retail arbitrage.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brands will want to work with us because we can provide broader Amazon presence.</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of selling via a wholesale model:</w:t>
      </w:r>
    </w:p>
    <w:p>
      <w:pPr>
        <w:pStyle w:val="TextBody"/>
        <w:shd w:fill="FFFFFF" w:val="clear"/>
        <w:ind w:left="0" w:right="0" w:firstLine="720"/>
        <w:jc w:val="both"/>
        <w:rPr>
          <w:caps w:val="false"/>
          <w:smallCaps w:val="false"/>
        </w:rPr>
      </w:pPr>
      <w:r>
        <w:rPr>
          <w:caps w:val="false"/>
          <w:smallCaps w:val="false"/>
        </w:rPr>
        <w:t> </w:t>
      </w:r>
    </w:p>
    <w:tbl>
      <w:tblPr>
        <w:tblW w:w="6745" w:type="dxa"/>
        <w:jc w:val="left"/>
        <w:tblInd w:w="0" w:type="dxa"/>
        <w:tblCellMar>
          <w:top w:w="0" w:type="dxa"/>
          <w:left w:w="0" w:type="dxa"/>
          <w:bottom w:w="0" w:type="dxa"/>
          <w:right w:w="0" w:type="dxa"/>
        </w:tblCellMar>
      </w:tblPr>
      <w:tblGrid>
        <w:gridCol w:w="75"/>
        <w:gridCol w:w="170"/>
        <w:gridCol w:w="650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5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Fierce competition on listing for Buy Box on amazon.com (as described below).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5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relationships with brand manufacturers.</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Description/Opportunities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Marketplace Pulse, total retail sales increased 18% to $6.56 trillion in 2021 from $5.56 trillion in 2020. U.S. ecommerce sales increased 18% to $960.15 billion in 2021 from $811.56 billion in 2020.</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accounted for nearly 40% of all e-commerce in the United States and that makes Amazon the biggest ecommerce giant currently in the market.</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Formation</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We were originally incorporated under the laws of the State of Washington on January 13, 2015. In 2019, we formed a wholly owned subsidiary, Flywheel Consulting Ltd. (“Flywheel”), to provide business operating consulting services, exclusively to Hour Loop. On April 7, 2021, Hour Loop converted from a Washington corporation to a Delaware corporation. </w:t>
      </w:r>
      <w:r>
        <w:rPr>
          <w:rFonts w:ascii="Times New Roman;Times;Serif" w:hAnsi="Times New Roman;Times;Serif"/>
          <w:b w:val="false"/>
          <w:i w:val="false"/>
          <w:caps w:val="false"/>
          <w:smallCaps w:val="false"/>
          <w:sz w:val="20"/>
        </w:rPr>
        <w:t>The Company was founded in 2013 by Sam Lai and Maggie Yu. With their vision, leadership, and software development skills, the Company grew rapidly. From 2013 to 2022, net sales grew from $0 to $95,930,091.</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Advantage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more than 2 million active third-party sellers on Amazon, we believe we have two main competitive advantages:</w:t>
      </w:r>
    </w:p>
    <w:p>
      <w:pPr>
        <w:pStyle w:val="TextBody"/>
        <w:shd w:fill="FFFFFF" w:val="clear"/>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have strong operations and sales teams experienced in listing, shipment, advertising, reconciliation and sales. By delivering high quality results and enhancing procedures through the process, our teams are competitive.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advertising strategy, we advertise those products that we estimate will have greater demand based on our experience. This lets us allocate our advertising budget in a fashion that delivers positive value. We advertise our products on Amazon. We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the advertising is fierce, we allocate the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short term increase in revenue. During these times, we avoid matching their prices. This strategy allows us to stay profitable.</w:t>
      </w:r>
    </w:p>
    <w:p>
      <w:pPr>
        <w:pStyle w:val="TextBody"/>
        <w:shd w:fill="FFFFFF" w:val="clear"/>
        <w:jc w:val="center"/>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Performance</w:t>
      </w:r>
    </w:p>
    <w:p>
      <w:pPr>
        <w:pStyle w:val="TextBody"/>
        <w:shd w:fill="FFFFFF" w:val="clear"/>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year end net revenues and net income (loss) from 2013 through 2022 is presented in the table below:</w:t>
      </w:r>
    </w:p>
    <w:p>
      <w:pPr>
        <w:pStyle w:val="TextBody"/>
        <w:jc w:val="center"/>
        <w:rPr>
          <w:caps w:val="false"/>
          <w:smallCaps w:val="false"/>
        </w:rPr>
      </w:pPr>
      <w:r>
        <w:rPr>
          <w:caps w:val="false"/>
          <w:smallCaps w:val="false"/>
        </w:rPr>
        <w:t> </w:t>
      </w:r>
    </w:p>
    <w:tbl>
      <w:tblPr>
        <w:tblW w:w="9196" w:type="dxa"/>
        <w:jc w:val="left"/>
        <w:tblInd w:w="0" w:type="dxa"/>
        <w:tblCellMar>
          <w:top w:w="0" w:type="dxa"/>
          <w:left w:w="0" w:type="dxa"/>
          <w:bottom w:w="28" w:type="dxa"/>
          <w:right w:w="0" w:type="dxa"/>
        </w:tblCellMar>
      </w:tblPr>
      <w:tblGrid>
        <w:gridCol w:w="545"/>
        <w:gridCol w:w="60"/>
        <w:gridCol w:w="60"/>
        <w:gridCol w:w="149"/>
        <w:gridCol w:w="1175"/>
        <w:gridCol w:w="60"/>
        <w:gridCol w:w="60"/>
        <w:gridCol w:w="121"/>
        <w:gridCol w:w="1008"/>
        <w:gridCol w:w="215"/>
        <w:gridCol w:w="60"/>
        <w:gridCol w:w="206"/>
        <w:gridCol w:w="1553"/>
        <w:gridCol w:w="95"/>
        <w:gridCol w:w="60"/>
        <w:gridCol w:w="385"/>
        <w:gridCol w:w="1674"/>
        <w:gridCol w:w="290"/>
        <w:gridCol w:w="60"/>
        <w:gridCol w:w="113"/>
        <w:gridCol w:w="942"/>
        <w:gridCol w:w="305"/>
      </w:tblGrid>
      <w:tr>
        <w:trPr/>
        <w:tc>
          <w:tcPr>
            <w:tcW w:w="545" w:type="dxa"/>
            <w:tcBorders>
              <w:bottom w:val="single" w:sz="12" w:space="0" w:color="000000"/>
            </w:tcBorders>
            <w:shd w:fill="auto" w:val="clear"/>
            <w:vAlign w:val="center"/>
          </w:tcPr>
          <w:p>
            <w:pPr>
              <w:pStyle w:val="TableContents"/>
              <w:spacing w:before="0" w:after="283"/>
              <w:jc w:val="center"/>
              <w:rPr>
                <w:b/>
              </w:rPr>
            </w:pPr>
            <w:r>
              <w:rPr>
                <w:b/>
              </w:rPr>
              <w:t>Year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4" w:type="dxa"/>
            <w:gridSpan w:val="2"/>
            <w:tcBorders>
              <w:bottom w:val="single" w:sz="12" w:space="0" w:color="000000"/>
            </w:tcBorders>
            <w:shd w:fill="auto" w:val="clear"/>
            <w:vAlign w:val="center"/>
          </w:tcPr>
          <w:p>
            <w:pPr>
              <w:pStyle w:val="TableContents"/>
              <w:spacing w:before="0" w:after="283"/>
              <w:jc w:val="center"/>
              <w:rPr>
                <w:b/>
              </w:rPr>
            </w:pPr>
            <w:r>
              <w:rPr>
                <w:b/>
              </w:rPr>
              <w:t>Net Revenue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29" w:type="dxa"/>
            <w:gridSpan w:val="2"/>
            <w:tcBorders>
              <w:bottom w:val="single" w:sz="12" w:space="0" w:color="000000"/>
            </w:tcBorders>
            <w:shd w:fill="auto" w:val="clear"/>
            <w:vAlign w:val="center"/>
          </w:tcPr>
          <w:p>
            <w:pPr>
              <w:pStyle w:val="TableContents"/>
              <w:jc w:val="center"/>
              <w:rPr>
                <w:b/>
              </w:rPr>
            </w:pPr>
            <w:r>
              <w:rPr>
                <w:b/>
              </w:rPr>
              <w:t>Year-over-</w:t>
            </w:r>
          </w:p>
          <w:p>
            <w:pPr>
              <w:pStyle w:val="TableContents"/>
              <w:spacing w:before="0" w:after="283"/>
              <w:jc w:val="center"/>
              <w:rPr>
                <w:b/>
              </w:rPr>
            </w:pPr>
            <w:r>
              <w:rPr>
                <w:b/>
              </w:rPr>
              <w:t>Year %</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59" w:type="dxa"/>
            <w:gridSpan w:val="2"/>
            <w:tcBorders>
              <w:bottom w:val="single" w:sz="12" w:space="0" w:color="000000"/>
            </w:tcBorders>
            <w:shd w:fill="auto" w:val="clear"/>
            <w:vAlign w:val="center"/>
          </w:tcPr>
          <w:p>
            <w:pPr>
              <w:pStyle w:val="TableContents"/>
              <w:spacing w:before="0" w:after="283"/>
              <w:jc w:val="center"/>
              <w:rPr>
                <w:b/>
              </w:rPr>
            </w:pPr>
            <w:r>
              <w:rPr>
                <w:b/>
              </w:rPr>
              <w:t>Net Income (loss)</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59" w:type="dxa"/>
            <w:gridSpan w:val="2"/>
            <w:tcBorders>
              <w:bottom w:val="single" w:sz="12" w:space="0" w:color="000000"/>
            </w:tcBorders>
            <w:shd w:fill="auto" w:val="clear"/>
            <w:vAlign w:val="center"/>
          </w:tcPr>
          <w:p>
            <w:pPr>
              <w:pStyle w:val="TableContents"/>
              <w:spacing w:before="0" w:after="283"/>
              <w:jc w:val="center"/>
              <w:rPr>
                <w:b/>
              </w:rPr>
            </w:pPr>
            <w:r>
              <w:rPr>
                <w:b/>
              </w:rPr>
              <w:t>Net Income (loss) %</w:t>
            </w:r>
          </w:p>
        </w:tc>
        <w:tc>
          <w:tcPr>
            <w:tcW w:w="2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55" w:type="dxa"/>
            <w:gridSpan w:val="2"/>
            <w:tcBorders>
              <w:bottom w:val="single" w:sz="12" w:space="0" w:color="000000"/>
            </w:tcBorders>
            <w:shd w:fill="auto" w:val="clear"/>
            <w:vAlign w:val="center"/>
          </w:tcPr>
          <w:p>
            <w:pPr>
              <w:pStyle w:val="TableContents"/>
              <w:jc w:val="center"/>
              <w:rPr>
                <w:b/>
              </w:rPr>
            </w:pPr>
            <w:r>
              <w:rPr>
                <w:b/>
              </w:rPr>
              <w:t>Year-over</w:t>
            </w:r>
          </w:p>
          <w:p>
            <w:pPr>
              <w:pStyle w:val="TableContents"/>
              <w:spacing w:before="0" w:after="283"/>
              <w:jc w:val="center"/>
              <w:rPr>
                <w:b/>
              </w:rPr>
            </w:pPr>
            <w:r>
              <w:rPr>
                <w:b/>
              </w:rPr>
              <w:t>-Year %</w:t>
            </w:r>
          </w:p>
        </w:tc>
        <w:tc>
          <w:tcPr>
            <w:tcW w:w="305" w:type="dxa"/>
            <w:tcBorders/>
            <w:shd w:fill="auto" w:val="clear"/>
            <w:tcMar>
              <w:bottom w:w="0" w:type="dxa"/>
            </w:tcMar>
            <w:vAlign w:val="center"/>
          </w:tcPr>
          <w:p>
            <w:pPr>
              <w:pStyle w:val="TableContents"/>
              <w:spacing w:before="0" w:after="283"/>
              <w:rPr/>
            </w:pPr>
            <w:r>
              <w:rPr/>
              <w:t> </w:t>
            </w:r>
          </w:p>
        </w:tc>
      </w:tr>
      <w:tr>
        <w:trPr/>
        <w:tc>
          <w:tcPr>
            <w:tcW w:w="545" w:type="dxa"/>
            <w:tcBorders/>
            <w:shd w:fill="CCEEFF" w:val="clear"/>
            <w:tcMar>
              <w:bottom w:w="0" w:type="dxa"/>
            </w:tcMar>
            <w:vAlign w:val="center"/>
          </w:tcPr>
          <w:p>
            <w:pPr>
              <w:pStyle w:val="TableContents"/>
              <w:spacing w:before="0" w:after="283"/>
              <w:jc w:val="center"/>
              <w:rPr>
                <w:i/>
              </w:rPr>
            </w:pPr>
            <w:r>
              <w:rPr>
                <w:i/>
              </w:rPr>
              <w:t>2013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9" w:type="dxa"/>
            <w:tcBorders/>
            <w:shd w:fill="CCEEFF" w:val="clear"/>
            <w:tcMar>
              <w:bottom w:w="0" w:type="dxa"/>
            </w:tcMar>
            <w:vAlign w:val="center"/>
          </w:tcPr>
          <w:p>
            <w:pPr>
              <w:pStyle w:val="TableContents"/>
              <w:spacing w:before="0" w:after="283"/>
              <w:jc w:val="left"/>
              <w:rPr/>
            </w:pPr>
            <w:r>
              <w:rPr/>
              <w:t>$</w:t>
            </w:r>
          </w:p>
        </w:tc>
        <w:tc>
          <w:tcPr>
            <w:tcW w:w="1175" w:type="dxa"/>
            <w:tcBorders/>
            <w:shd w:fill="CCEEFF" w:val="clear"/>
            <w:tcMar>
              <w:bottom w:w="0" w:type="dxa"/>
            </w:tcMar>
            <w:vAlign w:val="center"/>
          </w:tcPr>
          <w:p>
            <w:pPr>
              <w:pStyle w:val="TableContents"/>
              <w:spacing w:before="0" w:after="283"/>
              <w:jc w:val="right"/>
              <w:rPr/>
            </w:pPr>
            <w:r>
              <w:rPr/>
              <w:t>26,135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1" w:type="dxa"/>
            <w:tcBorders/>
            <w:shd w:fill="CCEEFF" w:val="clear"/>
            <w:tcMar>
              <w:bottom w:w="0" w:type="dxa"/>
            </w:tcMar>
            <w:vAlign w:val="center"/>
          </w:tcPr>
          <w:p>
            <w:pPr>
              <w:pStyle w:val="TableContents"/>
              <w:spacing w:before="0" w:after="283"/>
              <w:jc w:val="left"/>
              <w:rPr/>
            </w:pPr>
            <w:r>
              <w:rPr/>
              <w:t> </w:t>
            </w:r>
          </w:p>
        </w:tc>
        <w:tc>
          <w:tcPr>
            <w:tcW w:w="1008" w:type="dxa"/>
            <w:tcBorders/>
            <w:shd w:fill="CCEEFF" w:val="clear"/>
            <w:tcMar>
              <w:bottom w:w="0" w:type="dxa"/>
            </w:tcMar>
            <w:vAlign w:val="center"/>
          </w:tcPr>
          <w:p>
            <w:pPr>
              <w:pStyle w:val="TableContents"/>
              <w:spacing w:before="0" w:after="283"/>
              <w:jc w:val="right"/>
              <w:rPr/>
            </w:pPr>
            <w:r>
              <w:rPr/>
              <w:t>-</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553" w:type="dxa"/>
            <w:tcBorders/>
            <w:shd w:fill="CCEEFF" w:val="clear"/>
            <w:tcMar>
              <w:bottom w:w="0" w:type="dxa"/>
            </w:tcMar>
            <w:vAlign w:val="center"/>
          </w:tcPr>
          <w:p>
            <w:pPr>
              <w:pStyle w:val="TableContents"/>
              <w:spacing w:before="0" w:after="283"/>
              <w:jc w:val="right"/>
              <w:rPr/>
            </w:pPr>
            <w:r>
              <w:rPr/>
              <w:t>4,682</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jc w:val="left"/>
              <w:rPr/>
            </w:pPr>
            <w:r>
              <w:rPr/>
              <w:t> </w:t>
            </w:r>
          </w:p>
        </w:tc>
        <w:tc>
          <w:tcPr>
            <w:tcW w:w="1674" w:type="dxa"/>
            <w:tcBorders/>
            <w:shd w:fill="CCEEFF" w:val="clear"/>
            <w:tcMar>
              <w:bottom w:w="0" w:type="dxa"/>
            </w:tcMar>
            <w:vAlign w:val="center"/>
          </w:tcPr>
          <w:p>
            <w:pPr>
              <w:pStyle w:val="TableContents"/>
              <w:spacing w:before="0" w:after="283"/>
              <w:jc w:val="right"/>
              <w:rPr/>
            </w:pPr>
            <w:r>
              <w:rPr/>
              <w:t>18</w:t>
            </w:r>
          </w:p>
        </w:tc>
        <w:tc>
          <w:tcPr>
            <w:tcW w:w="290"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jc w:val="left"/>
              <w:rPr/>
            </w:pPr>
            <w:r>
              <w:rPr/>
              <w:t> </w:t>
            </w:r>
          </w:p>
        </w:tc>
        <w:tc>
          <w:tcPr>
            <w:tcW w:w="942" w:type="dxa"/>
            <w:tcBorders/>
            <w:shd w:fill="CCEEFF" w:val="clear"/>
            <w:tcMar>
              <w:bottom w:w="0" w:type="dxa"/>
            </w:tcMar>
            <w:vAlign w:val="center"/>
          </w:tcPr>
          <w:p>
            <w:pPr>
              <w:pStyle w:val="TableContents"/>
              <w:spacing w:before="0" w:after="283"/>
              <w:jc w:val="right"/>
              <w:rPr/>
            </w:pPr>
            <w:r>
              <w:rPr/>
              <w:t>-</w:t>
            </w:r>
          </w:p>
        </w:tc>
        <w:tc>
          <w:tcPr>
            <w:tcW w:w="305" w:type="dxa"/>
            <w:tcBorders/>
            <w:shd w:fill="CCEEFF" w:val="clear"/>
            <w:tcMar>
              <w:bottom w:w="0" w:type="dxa"/>
            </w:tcMar>
            <w:vAlign w:val="center"/>
          </w:tcPr>
          <w:p>
            <w:pPr>
              <w:pStyle w:val="TableContents"/>
              <w:spacing w:before="0" w:after="283"/>
              <w:jc w:val="left"/>
              <w:rPr/>
            </w:pPr>
            <w:r>
              <w:rPr/>
              <w:t> </w:t>
            </w:r>
          </w:p>
        </w:tc>
      </w:tr>
      <w:tr>
        <w:trPr/>
        <w:tc>
          <w:tcPr>
            <w:tcW w:w="545" w:type="dxa"/>
            <w:tcBorders/>
            <w:shd w:fill="FFFFFF" w:val="clear"/>
            <w:tcMar>
              <w:bottom w:w="0" w:type="dxa"/>
            </w:tcMar>
            <w:vAlign w:val="center"/>
          </w:tcPr>
          <w:p>
            <w:pPr>
              <w:pStyle w:val="TableContents"/>
              <w:spacing w:before="0" w:after="283"/>
              <w:jc w:val="center"/>
              <w:rPr>
                <w:i/>
              </w:rPr>
            </w:pPr>
            <w:r>
              <w:rPr>
                <w:i/>
              </w:rPr>
              <w:t>2014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9" w:type="dxa"/>
            <w:tcBorders/>
            <w:shd w:fill="FFFFFF" w:val="clear"/>
            <w:tcMar>
              <w:bottom w:w="0" w:type="dxa"/>
            </w:tcMar>
            <w:vAlign w:val="center"/>
          </w:tcPr>
          <w:p>
            <w:pPr>
              <w:pStyle w:val="TableContents"/>
              <w:spacing w:before="0" w:after="283"/>
              <w:jc w:val="left"/>
              <w:rPr/>
            </w:pPr>
            <w:r>
              <w:rPr/>
              <w:t>$</w:t>
            </w:r>
          </w:p>
        </w:tc>
        <w:tc>
          <w:tcPr>
            <w:tcW w:w="1175" w:type="dxa"/>
            <w:tcBorders/>
            <w:shd w:fill="FFFFFF" w:val="clear"/>
            <w:tcMar>
              <w:bottom w:w="0" w:type="dxa"/>
            </w:tcMar>
            <w:vAlign w:val="center"/>
          </w:tcPr>
          <w:p>
            <w:pPr>
              <w:pStyle w:val="TableContents"/>
              <w:spacing w:before="0" w:after="283"/>
              <w:jc w:val="right"/>
              <w:rPr/>
            </w:pPr>
            <w:r>
              <w:rPr/>
              <w:t>1,102,237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1008" w:type="dxa"/>
            <w:tcBorders/>
            <w:shd w:fill="FFFFFF" w:val="clear"/>
            <w:tcMar>
              <w:bottom w:w="0" w:type="dxa"/>
            </w:tcMar>
            <w:vAlign w:val="center"/>
          </w:tcPr>
          <w:p>
            <w:pPr>
              <w:pStyle w:val="TableContents"/>
              <w:spacing w:before="0" w:after="283"/>
              <w:jc w:val="right"/>
              <w:rPr/>
            </w:pPr>
            <w:r>
              <w:rPr/>
              <w:t>4117</w:t>
            </w:r>
          </w:p>
        </w:tc>
        <w:tc>
          <w:tcPr>
            <w:tcW w:w="21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553" w:type="dxa"/>
            <w:tcBorders/>
            <w:shd w:fill="FFFFFF" w:val="clear"/>
            <w:tcMar>
              <w:bottom w:w="0" w:type="dxa"/>
            </w:tcMar>
            <w:vAlign w:val="center"/>
          </w:tcPr>
          <w:p>
            <w:pPr>
              <w:pStyle w:val="TableContents"/>
              <w:spacing w:before="0" w:after="283"/>
              <w:jc w:val="right"/>
              <w:rPr/>
            </w:pPr>
            <w:r>
              <w:rPr/>
              <w:t>150,300</w:t>
            </w:r>
          </w:p>
        </w:tc>
        <w:tc>
          <w:tcPr>
            <w:tcW w:w="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85"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14</w:t>
            </w:r>
          </w:p>
        </w:tc>
        <w:tc>
          <w:tcPr>
            <w:tcW w:w="29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942" w:type="dxa"/>
            <w:tcBorders/>
            <w:shd w:fill="FFFFFF" w:val="clear"/>
            <w:tcMar>
              <w:bottom w:w="0" w:type="dxa"/>
            </w:tcMar>
            <w:vAlign w:val="center"/>
          </w:tcPr>
          <w:p>
            <w:pPr>
              <w:pStyle w:val="TableContents"/>
              <w:spacing w:before="0" w:after="283"/>
              <w:jc w:val="right"/>
              <w:rPr/>
            </w:pPr>
            <w:r>
              <w:rPr/>
              <w:t>3110</w:t>
            </w:r>
          </w:p>
        </w:tc>
        <w:tc>
          <w:tcPr>
            <w:tcW w:w="305" w:type="dxa"/>
            <w:tcBorders/>
            <w:shd w:fill="FFFFFF" w:val="clear"/>
            <w:tcMar>
              <w:bottom w:w="0" w:type="dxa"/>
            </w:tcMar>
            <w:vAlign w:val="center"/>
          </w:tcPr>
          <w:p>
            <w:pPr>
              <w:pStyle w:val="TableContents"/>
              <w:spacing w:before="0" w:after="283"/>
              <w:jc w:val="left"/>
              <w:rPr/>
            </w:pPr>
            <w:r>
              <w:rPr/>
              <w:t>%</w:t>
            </w:r>
          </w:p>
        </w:tc>
      </w:tr>
      <w:tr>
        <w:trPr/>
        <w:tc>
          <w:tcPr>
            <w:tcW w:w="545" w:type="dxa"/>
            <w:tcBorders/>
            <w:shd w:fill="CCEEFF" w:val="clear"/>
            <w:tcMar>
              <w:bottom w:w="0" w:type="dxa"/>
            </w:tcMar>
            <w:vAlign w:val="center"/>
          </w:tcPr>
          <w:p>
            <w:pPr>
              <w:pStyle w:val="TableContents"/>
              <w:spacing w:before="0" w:after="283"/>
              <w:jc w:val="center"/>
              <w:rPr>
                <w:i/>
              </w:rPr>
            </w:pPr>
            <w:r>
              <w:rPr>
                <w:i/>
              </w:rPr>
              <w:t>2015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9" w:type="dxa"/>
            <w:tcBorders/>
            <w:shd w:fill="CCEEFF" w:val="clear"/>
            <w:tcMar>
              <w:bottom w:w="0" w:type="dxa"/>
            </w:tcMar>
            <w:vAlign w:val="center"/>
          </w:tcPr>
          <w:p>
            <w:pPr>
              <w:pStyle w:val="TableContents"/>
              <w:spacing w:before="0" w:after="283"/>
              <w:jc w:val="left"/>
              <w:rPr/>
            </w:pPr>
            <w:r>
              <w:rPr/>
              <w:t>$</w:t>
            </w:r>
          </w:p>
        </w:tc>
        <w:tc>
          <w:tcPr>
            <w:tcW w:w="1175" w:type="dxa"/>
            <w:tcBorders/>
            <w:shd w:fill="CCEEFF" w:val="clear"/>
            <w:tcMar>
              <w:bottom w:w="0" w:type="dxa"/>
            </w:tcMar>
            <w:vAlign w:val="center"/>
          </w:tcPr>
          <w:p>
            <w:pPr>
              <w:pStyle w:val="TableContents"/>
              <w:spacing w:before="0" w:after="283"/>
              <w:jc w:val="right"/>
              <w:rPr/>
            </w:pPr>
            <w:r>
              <w:rPr/>
              <w:t>2,567,267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1" w:type="dxa"/>
            <w:tcBorders/>
            <w:shd w:fill="CCEEFF" w:val="clear"/>
            <w:tcMar>
              <w:bottom w:w="0" w:type="dxa"/>
            </w:tcMar>
            <w:vAlign w:val="center"/>
          </w:tcPr>
          <w:p>
            <w:pPr>
              <w:pStyle w:val="TableContents"/>
              <w:spacing w:before="0" w:after="283"/>
              <w:jc w:val="left"/>
              <w:rPr/>
            </w:pPr>
            <w:r>
              <w:rPr/>
              <w:t> </w:t>
            </w:r>
          </w:p>
        </w:tc>
        <w:tc>
          <w:tcPr>
            <w:tcW w:w="1008" w:type="dxa"/>
            <w:tcBorders/>
            <w:shd w:fill="CCEEFF" w:val="clear"/>
            <w:tcMar>
              <w:bottom w:w="0" w:type="dxa"/>
            </w:tcMar>
            <w:vAlign w:val="center"/>
          </w:tcPr>
          <w:p>
            <w:pPr>
              <w:pStyle w:val="TableContents"/>
              <w:spacing w:before="0" w:after="283"/>
              <w:jc w:val="right"/>
              <w:rPr/>
            </w:pPr>
            <w:r>
              <w:rPr/>
              <w:t>133</w:t>
            </w:r>
          </w:p>
        </w:tc>
        <w:tc>
          <w:tcPr>
            <w:tcW w:w="21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553" w:type="dxa"/>
            <w:tcBorders/>
            <w:shd w:fill="CCEEFF" w:val="clear"/>
            <w:tcMar>
              <w:bottom w:w="0" w:type="dxa"/>
            </w:tcMar>
            <w:vAlign w:val="center"/>
          </w:tcPr>
          <w:p>
            <w:pPr>
              <w:pStyle w:val="TableContents"/>
              <w:spacing w:before="0" w:after="283"/>
              <w:jc w:val="right"/>
              <w:rPr/>
            </w:pPr>
            <w:r>
              <w:rPr/>
              <w:t>228,009</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jc w:val="left"/>
              <w:rPr/>
            </w:pPr>
            <w:r>
              <w:rPr/>
              <w:t> </w:t>
            </w:r>
          </w:p>
        </w:tc>
        <w:tc>
          <w:tcPr>
            <w:tcW w:w="1674" w:type="dxa"/>
            <w:tcBorders/>
            <w:shd w:fill="CCEEFF" w:val="clear"/>
            <w:tcMar>
              <w:bottom w:w="0" w:type="dxa"/>
            </w:tcMar>
            <w:vAlign w:val="center"/>
          </w:tcPr>
          <w:p>
            <w:pPr>
              <w:pStyle w:val="TableContents"/>
              <w:spacing w:before="0" w:after="283"/>
              <w:jc w:val="right"/>
              <w:rPr/>
            </w:pPr>
            <w:r>
              <w:rPr/>
              <w:t>9</w:t>
            </w:r>
          </w:p>
        </w:tc>
        <w:tc>
          <w:tcPr>
            <w:tcW w:w="290"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jc w:val="left"/>
              <w:rPr/>
            </w:pPr>
            <w:r>
              <w:rPr/>
              <w:t> </w:t>
            </w:r>
          </w:p>
        </w:tc>
        <w:tc>
          <w:tcPr>
            <w:tcW w:w="942" w:type="dxa"/>
            <w:tcBorders/>
            <w:shd w:fill="CCEEFF" w:val="clear"/>
            <w:tcMar>
              <w:bottom w:w="0" w:type="dxa"/>
            </w:tcMar>
            <w:vAlign w:val="center"/>
          </w:tcPr>
          <w:p>
            <w:pPr>
              <w:pStyle w:val="TableContents"/>
              <w:spacing w:before="0" w:after="283"/>
              <w:jc w:val="right"/>
              <w:rPr/>
            </w:pPr>
            <w:r>
              <w:rPr/>
              <w:t>52</w:t>
            </w:r>
          </w:p>
        </w:tc>
        <w:tc>
          <w:tcPr>
            <w:tcW w:w="305" w:type="dxa"/>
            <w:tcBorders/>
            <w:shd w:fill="CCEEFF" w:val="clear"/>
            <w:tcMar>
              <w:bottom w:w="0" w:type="dxa"/>
            </w:tcMar>
            <w:vAlign w:val="center"/>
          </w:tcPr>
          <w:p>
            <w:pPr>
              <w:pStyle w:val="TableContents"/>
              <w:spacing w:before="0" w:after="283"/>
              <w:jc w:val="left"/>
              <w:rPr/>
            </w:pPr>
            <w:r>
              <w:rPr/>
              <w:t>%</w:t>
            </w:r>
          </w:p>
        </w:tc>
      </w:tr>
      <w:tr>
        <w:trPr/>
        <w:tc>
          <w:tcPr>
            <w:tcW w:w="545" w:type="dxa"/>
            <w:tcBorders/>
            <w:shd w:fill="FFFFFF" w:val="clear"/>
            <w:tcMar>
              <w:bottom w:w="0" w:type="dxa"/>
            </w:tcMar>
            <w:vAlign w:val="center"/>
          </w:tcPr>
          <w:p>
            <w:pPr>
              <w:pStyle w:val="TableContents"/>
              <w:spacing w:before="0" w:after="283"/>
              <w:jc w:val="center"/>
              <w:rPr>
                <w:i/>
              </w:rPr>
            </w:pPr>
            <w:r>
              <w:rPr>
                <w:i/>
              </w:rPr>
              <w:t>2016</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9" w:type="dxa"/>
            <w:tcBorders/>
            <w:shd w:fill="FFFFFF" w:val="clear"/>
            <w:tcMar>
              <w:bottom w:w="0" w:type="dxa"/>
            </w:tcMar>
            <w:vAlign w:val="center"/>
          </w:tcPr>
          <w:p>
            <w:pPr>
              <w:pStyle w:val="TableContents"/>
              <w:spacing w:before="0" w:after="283"/>
              <w:jc w:val="left"/>
              <w:rPr/>
            </w:pPr>
            <w:r>
              <w:rPr/>
              <w:t>$</w:t>
            </w:r>
          </w:p>
        </w:tc>
        <w:tc>
          <w:tcPr>
            <w:tcW w:w="1175" w:type="dxa"/>
            <w:tcBorders/>
            <w:shd w:fill="FFFFFF" w:val="clear"/>
            <w:tcMar>
              <w:bottom w:w="0" w:type="dxa"/>
            </w:tcMar>
            <w:vAlign w:val="center"/>
          </w:tcPr>
          <w:p>
            <w:pPr>
              <w:pStyle w:val="TableContents"/>
              <w:spacing w:before="0" w:after="283"/>
              <w:jc w:val="right"/>
              <w:rPr/>
            </w:pPr>
            <w:r>
              <w:rPr/>
              <w:t>7,337,012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1008" w:type="dxa"/>
            <w:tcBorders/>
            <w:shd w:fill="FFFFFF" w:val="clear"/>
            <w:tcMar>
              <w:bottom w:w="0" w:type="dxa"/>
            </w:tcMar>
            <w:vAlign w:val="center"/>
          </w:tcPr>
          <w:p>
            <w:pPr>
              <w:pStyle w:val="TableContents"/>
              <w:spacing w:before="0" w:after="283"/>
              <w:jc w:val="right"/>
              <w:rPr/>
            </w:pPr>
            <w:r>
              <w:rPr/>
              <w:t>186</w:t>
            </w:r>
          </w:p>
        </w:tc>
        <w:tc>
          <w:tcPr>
            <w:tcW w:w="21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553" w:type="dxa"/>
            <w:tcBorders/>
            <w:shd w:fill="FFFFFF" w:val="clear"/>
            <w:tcMar>
              <w:bottom w:w="0" w:type="dxa"/>
            </w:tcMar>
            <w:vAlign w:val="center"/>
          </w:tcPr>
          <w:p>
            <w:pPr>
              <w:pStyle w:val="TableContents"/>
              <w:spacing w:before="0" w:after="283"/>
              <w:jc w:val="right"/>
              <w:rPr/>
            </w:pPr>
            <w:r>
              <w:rPr/>
              <w:t>77,752</w:t>
            </w:r>
          </w:p>
        </w:tc>
        <w:tc>
          <w:tcPr>
            <w:tcW w:w="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85"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1</w:t>
            </w:r>
          </w:p>
        </w:tc>
        <w:tc>
          <w:tcPr>
            <w:tcW w:w="29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942"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05" w:type="dxa"/>
            <w:tcBorders/>
            <w:shd w:fill="FFFFFF" w:val="clear"/>
            <w:tcMar>
              <w:bottom w:w="0" w:type="dxa"/>
            </w:tcMar>
            <w:vAlign w:val="center"/>
          </w:tcPr>
          <w:p>
            <w:pPr>
              <w:pStyle w:val="TableContents"/>
              <w:spacing w:before="0" w:after="283"/>
              <w:jc w:val="left"/>
              <w:rPr/>
            </w:pPr>
            <w:r>
              <w:rPr/>
              <w:t> </w:t>
            </w:r>
          </w:p>
        </w:tc>
      </w:tr>
      <w:tr>
        <w:trPr/>
        <w:tc>
          <w:tcPr>
            <w:tcW w:w="545" w:type="dxa"/>
            <w:tcBorders/>
            <w:shd w:fill="CCEEFF" w:val="clear"/>
            <w:tcMar>
              <w:bottom w:w="0" w:type="dxa"/>
            </w:tcMar>
            <w:vAlign w:val="center"/>
          </w:tcPr>
          <w:p>
            <w:pPr>
              <w:pStyle w:val="TableContents"/>
              <w:spacing w:before="0" w:after="283"/>
              <w:jc w:val="center"/>
              <w:rPr>
                <w:i/>
              </w:rPr>
            </w:pPr>
            <w:r>
              <w:rPr>
                <w:i/>
              </w:rPr>
              <w:t>2017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9" w:type="dxa"/>
            <w:tcBorders/>
            <w:shd w:fill="CCEEFF" w:val="clear"/>
            <w:tcMar>
              <w:bottom w:w="0" w:type="dxa"/>
            </w:tcMar>
            <w:vAlign w:val="center"/>
          </w:tcPr>
          <w:p>
            <w:pPr>
              <w:pStyle w:val="TableContents"/>
              <w:spacing w:before="0" w:after="283"/>
              <w:jc w:val="left"/>
              <w:rPr/>
            </w:pPr>
            <w:r>
              <w:rPr/>
              <w:t>$</w:t>
            </w:r>
          </w:p>
        </w:tc>
        <w:tc>
          <w:tcPr>
            <w:tcW w:w="1175" w:type="dxa"/>
            <w:tcBorders/>
            <w:shd w:fill="CCEEFF" w:val="clear"/>
            <w:tcMar>
              <w:bottom w:w="0" w:type="dxa"/>
            </w:tcMar>
            <w:vAlign w:val="center"/>
          </w:tcPr>
          <w:p>
            <w:pPr>
              <w:pStyle w:val="TableContents"/>
              <w:spacing w:before="0" w:after="283"/>
              <w:jc w:val="right"/>
              <w:rPr/>
            </w:pPr>
            <w:r>
              <w:rPr/>
              <w:t>17,487,124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1" w:type="dxa"/>
            <w:tcBorders/>
            <w:shd w:fill="CCEEFF" w:val="clear"/>
            <w:tcMar>
              <w:bottom w:w="0" w:type="dxa"/>
            </w:tcMar>
            <w:vAlign w:val="center"/>
          </w:tcPr>
          <w:p>
            <w:pPr>
              <w:pStyle w:val="TableContents"/>
              <w:spacing w:before="0" w:after="283"/>
              <w:jc w:val="left"/>
              <w:rPr/>
            </w:pPr>
            <w:r>
              <w:rPr/>
              <w:t> </w:t>
            </w:r>
          </w:p>
        </w:tc>
        <w:tc>
          <w:tcPr>
            <w:tcW w:w="1008" w:type="dxa"/>
            <w:tcBorders/>
            <w:shd w:fill="CCEEFF" w:val="clear"/>
            <w:tcMar>
              <w:bottom w:w="0" w:type="dxa"/>
            </w:tcMar>
            <w:vAlign w:val="center"/>
          </w:tcPr>
          <w:p>
            <w:pPr>
              <w:pStyle w:val="TableContents"/>
              <w:spacing w:before="0" w:after="283"/>
              <w:jc w:val="right"/>
              <w:rPr/>
            </w:pPr>
            <w:r>
              <w:rPr/>
              <w:t>138</w:t>
            </w:r>
          </w:p>
        </w:tc>
        <w:tc>
          <w:tcPr>
            <w:tcW w:w="21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553" w:type="dxa"/>
            <w:tcBorders/>
            <w:shd w:fill="CCEEFF" w:val="clear"/>
            <w:tcMar>
              <w:bottom w:w="0" w:type="dxa"/>
            </w:tcMar>
            <w:vAlign w:val="center"/>
          </w:tcPr>
          <w:p>
            <w:pPr>
              <w:pStyle w:val="TableContents"/>
              <w:spacing w:before="0" w:after="283"/>
              <w:jc w:val="right"/>
              <w:rPr/>
            </w:pPr>
            <w:r>
              <w:rPr/>
              <w:t>(122,176</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jc w:val="left"/>
              <w:rPr/>
            </w:pPr>
            <w:r>
              <w:rPr/>
              <w:t> </w:t>
            </w:r>
          </w:p>
        </w:tc>
        <w:tc>
          <w:tcPr>
            <w:tcW w:w="1674" w:type="dxa"/>
            <w:tcBorders/>
            <w:shd w:fill="CCEEFF" w:val="clear"/>
            <w:tcMar>
              <w:bottom w:w="0" w:type="dxa"/>
            </w:tcMar>
            <w:vAlign w:val="center"/>
          </w:tcPr>
          <w:p>
            <w:pPr>
              <w:pStyle w:val="TableContents"/>
              <w:spacing w:before="0" w:after="283"/>
              <w:jc w:val="right"/>
              <w:rPr/>
            </w:pPr>
            <w:r>
              <w:rPr/>
              <w:t>(1</w:t>
            </w:r>
          </w:p>
        </w:tc>
        <w:tc>
          <w:tcPr>
            <w:tcW w:w="290"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jc w:val="left"/>
              <w:rPr/>
            </w:pPr>
            <w:r>
              <w:rPr/>
              <w:t> </w:t>
            </w:r>
          </w:p>
        </w:tc>
        <w:tc>
          <w:tcPr>
            <w:tcW w:w="942" w:type="dxa"/>
            <w:tcBorders/>
            <w:shd w:fill="CCEEFF" w:val="clear"/>
            <w:tcMar>
              <w:bottom w:w="0" w:type="dxa"/>
            </w:tcMar>
            <w:vAlign w:val="center"/>
          </w:tcPr>
          <w:p>
            <w:pPr>
              <w:pStyle w:val="TableContents"/>
              <w:spacing w:before="0" w:after="283"/>
              <w:jc w:val="right"/>
              <w:rPr/>
            </w:pPr>
            <w:r>
              <w:rPr/>
              <w:t>(257</w:t>
            </w:r>
          </w:p>
        </w:tc>
        <w:tc>
          <w:tcPr>
            <w:tcW w:w="305" w:type="dxa"/>
            <w:tcBorders/>
            <w:shd w:fill="CCEEFF" w:val="clear"/>
            <w:tcMar>
              <w:bottom w:w="0" w:type="dxa"/>
            </w:tcMar>
            <w:vAlign w:val="center"/>
          </w:tcPr>
          <w:p>
            <w:pPr>
              <w:pStyle w:val="TableContents"/>
              <w:spacing w:before="0" w:after="283"/>
              <w:jc w:val="left"/>
              <w:rPr/>
            </w:pPr>
            <w:r>
              <w:rPr/>
              <w:t>)%</w:t>
            </w:r>
          </w:p>
        </w:tc>
      </w:tr>
      <w:tr>
        <w:trPr/>
        <w:tc>
          <w:tcPr>
            <w:tcW w:w="545" w:type="dxa"/>
            <w:tcBorders/>
            <w:shd w:fill="FFFFFF" w:val="clear"/>
            <w:tcMar>
              <w:bottom w:w="0" w:type="dxa"/>
            </w:tcMar>
            <w:vAlign w:val="center"/>
          </w:tcPr>
          <w:p>
            <w:pPr>
              <w:pStyle w:val="TableContents"/>
              <w:spacing w:before="0" w:after="283"/>
              <w:jc w:val="center"/>
              <w:rPr>
                <w:i/>
              </w:rPr>
            </w:pPr>
            <w:r>
              <w:rPr>
                <w:i/>
              </w:rPr>
              <w:t>2018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9" w:type="dxa"/>
            <w:tcBorders/>
            <w:shd w:fill="FFFFFF" w:val="clear"/>
            <w:tcMar>
              <w:bottom w:w="0" w:type="dxa"/>
            </w:tcMar>
            <w:vAlign w:val="center"/>
          </w:tcPr>
          <w:p>
            <w:pPr>
              <w:pStyle w:val="TableContents"/>
              <w:spacing w:before="0" w:after="283"/>
              <w:jc w:val="left"/>
              <w:rPr/>
            </w:pPr>
            <w:r>
              <w:rPr/>
              <w:t>$</w:t>
            </w:r>
          </w:p>
        </w:tc>
        <w:tc>
          <w:tcPr>
            <w:tcW w:w="1175" w:type="dxa"/>
            <w:tcBorders/>
            <w:shd w:fill="FFFFFF" w:val="clear"/>
            <w:tcMar>
              <w:bottom w:w="0" w:type="dxa"/>
            </w:tcMar>
            <w:vAlign w:val="center"/>
          </w:tcPr>
          <w:p>
            <w:pPr>
              <w:pStyle w:val="TableContents"/>
              <w:spacing w:before="0" w:after="283"/>
              <w:jc w:val="right"/>
              <w:rPr/>
            </w:pPr>
            <w:r>
              <w:rPr/>
              <w:t>24,402,144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1008" w:type="dxa"/>
            <w:tcBorders/>
            <w:shd w:fill="FFFFFF" w:val="clear"/>
            <w:tcMar>
              <w:bottom w:w="0" w:type="dxa"/>
            </w:tcMar>
            <w:vAlign w:val="center"/>
          </w:tcPr>
          <w:p>
            <w:pPr>
              <w:pStyle w:val="TableContents"/>
              <w:spacing w:before="0" w:after="283"/>
              <w:jc w:val="right"/>
              <w:rPr/>
            </w:pPr>
            <w:r>
              <w:rPr/>
              <w:t>40</w:t>
            </w:r>
          </w:p>
        </w:tc>
        <w:tc>
          <w:tcPr>
            <w:tcW w:w="21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553" w:type="dxa"/>
            <w:tcBorders/>
            <w:shd w:fill="FFFFFF" w:val="clear"/>
            <w:tcMar>
              <w:bottom w:w="0" w:type="dxa"/>
            </w:tcMar>
            <w:vAlign w:val="center"/>
          </w:tcPr>
          <w:p>
            <w:pPr>
              <w:pStyle w:val="TableContents"/>
              <w:spacing w:before="0" w:after="283"/>
              <w:jc w:val="right"/>
              <w:rPr/>
            </w:pPr>
            <w:r>
              <w:rPr/>
              <w:t>657,821</w:t>
            </w:r>
          </w:p>
        </w:tc>
        <w:tc>
          <w:tcPr>
            <w:tcW w:w="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85"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3</w:t>
            </w:r>
          </w:p>
        </w:tc>
        <w:tc>
          <w:tcPr>
            <w:tcW w:w="29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942"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05" w:type="dxa"/>
            <w:tcBorders/>
            <w:shd w:fill="FFFFFF" w:val="clear"/>
            <w:tcMar>
              <w:bottom w:w="0" w:type="dxa"/>
            </w:tcMar>
            <w:vAlign w:val="center"/>
          </w:tcPr>
          <w:p>
            <w:pPr>
              <w:pStyle w:val="TableContents"/>
              <w:spacing w:before="0" w:after="283"/>
              <w:jc w:val="left"/>
              <w:rPr/>
            </w:pPr>
            <w:r>
              <w:rPr/>
              <w:t> </w:t>
            </w:r>
          </w:p>
        </w:tc>
      </w:tr>
      <w:tr>
        <w:trPr/>
        <w:tc>
          <w:tcPr>
            <w:tcW w:w="545" w:type="dxa"/>
            <w:tcBorders/>
            <w:shd w:fill="CCEEFF" w:val="clear"/>
            <w:tcMar>
              <w:bottom w:w="0" w:type="dxa"/>
            </w:tcMar>
            <w:vAlign w:val="center"/>
          </w:tcPr>
          <w:p>
            <w:pPr>
              <w:pStyle w:val="TableContents"/>
              <w:spacing w:before="0" w:after="283"/>
              <w:jc w:val="center"/>
              <w:rPr>
                <w:i/>
              </w:rPr>
            </w:pPr>
            <w:r>
              <w:rPr>
                <w:i/>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9" w:type="dxa"/>
            <w:tcBorders/>
            <w:shd w:fill="CCEEFF" w:val="clear"/>
            <w:tcMar>
              <w:bottom w:w="0" w:type="dxa"/>
            </w:tcMar>
            <w:vAlign w:val="center"/>
          </w:tcPr>
          <w:p>
            <w:pPr>
              <w:pStyle w:val="TableContents"/>
              <w:spacing w:before="0" w:after="283"/>
              <w:jc w:val="left"/>
              <w:rPr/>
            </w:pPr>
            <w:r>
              <w:rPr/>
              <w:t>$</w:t>
            </w:r>
          </w:p>
        </w:tc>
        <w:tc>
          <w:tcPr>
            <w:tcW w:w="1175" w:type="dxa"/>
            <w:tcBorders/>
            <w:shd w:fill="CCEEFF" w:val="clear"/>
            <w:tcMar>
              <w:bottom w:w="0" w:type="dxa"/>
            </w:tcMar>
            <w:vAlign w:val="center"/>
          </w:tcPr>
          <w:p>
            <w:pPr>
              <w:pStyle w:val="TableContents"/>
              <w:spacing w:before="0" w:after="283"/>
              <w:jc w:val="right"/>
              <w:rPr/>
            </w:pPr>
            <w:r>
              <w:rPr/>
              <w:t>26,564,693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1" w:type="dxa"/>
            <w:tcBorders/>
            <w:shd w:fill="CCEEFF" w:val="clear"/>
            <w:tcMar>
              <w:bottom w:w="0" w:type="dxa"/>
            </w:tcMar>
            <w:vAlign w:val="center"/>
          </w:tcPr>
          <w:p>
            <w:pPr>
              <w:pStyle w:val="TableContents"/>
              <w:spacing w:before="0" w:after="283"/>
              <w:jc w:val="left"/>
              <w:rPr/>
            </w:pPr>
            <w:r>
              <w:rPr/>
              <w:t> </w:t>
            </w:r>
          </w:p>
        </w:tc>
        <w:tc>
          <w:tcPr>
            <w:tcW w:w="1008" w:type="dxa"/>
            <w:tcBorders/>
            <w:shd w:fill="CCEEFF" w:val="clear"/>
            <w:tcMar>
              <w:bottom w:w="0" w:type="dxa"/>
            </w:tcMar>
            <w:vAlign w:val="center"/>
          </w:tcPr>
          <w:p>
            <w:pPr>
              <w:pStyle w:val="TableContents"/>
              <w:spacing w:before="0" w:after="283"/>
              <w:jc w:val="right"/>
              <w:rPr/>
            </w:pPr>
            <w:r>
              <w:rPr/>
              <w:t>9</w:t>
            </w:r>
          </w:p>
        </w:tc>
        <w:tc>
          <w:tcPr>
            <w:tcW w:w="21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553" w:type="dxa"/>
            <w:tcBorders/>
            <w:shd w:fill="CCEEFF" w:val="clear"/>
            <w:tcMar>
              <w:bottom w:w="0" w:type="dxa"/>
            </w:tcMar>
            <w:vAlign w:val="center"/>
          </w:tcPr>
          <w:p>
            <w:pPr>
              <w:pStyle w:val="TableContents"/>
              <w:spacing w:before="0" w:after="283"/>
              <w:jc w:val="right"/>
              <w:rPr/>
            </w:pPr>
            <w:r>
              <w:rPr/>
              <w:t>(423,073</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jc w:val="left"/>
              <w:rPr/>
            </w:pPr>
            <w:r>
              <w:rPr/>
              <w:t> </w:t>
            </w:r>
          </w:p>
        </w:tc>
        <w:tc>
          <w:tcPr>
            <w:tcW w:w="1674" w:type="dxa"/>
            <w:tcBorders/>
            <w:shd w:fill="CCEEFF" w:val="clear"/>
            <w:tcMar>
              <w:bottom w:w="0" w:type="dxa"/>
            </w:tcMar>
            <w:vAlign w:val="center"/>
          </w:tcPr>
          <w:p>
            <w:pPr>
              <w:pStyle w:val="TableContents"/>
              <w:spacing w:before="0" w:after="283"/>
              <w:jc w:val="right"/>
              <w:rPr/>
            </w:pPr>
            <w:r>
              <w:rPr/>
              <w:t>(2</w:t>
            </w:r>
          </w:p>
        </w:tc>
        <w:tc>
          <w:tcPr>
            <w:tcW w:w="290"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jc w:val="left"/>
              <w:rPr/>
            </w:pPr>
            <w:r>
              <w:rPr/>
              <w:t> </w:t>
            </w:r>
          </w:p>
        </w:tc>
        <w:tc>
          <w:tcPr>
            <w:tcW w:w="942" w:type="dxa"/>
            <w:tcBorders/>
            <w:shd w:fill="CCEEFF" w:val="clear"/>
            <w:tcMar>
              <w:bottom w:w="0" w:type="dxa"/>
            </w:tcMar>
            <w:vAlign w:val="center"/>
          </w:tcPr>
          <w:p>
            <w:pPr>
              <w:pStyle w:val="TableContents"/>
              <w:spacing w:before="0" w:after="283"/>
              <w:jc w:val="right"/>
              <w:rPr/>
            </w:pPr>
            <w:r>
              <w:rPr/>
              <w:t>(165</w:t>
            </w:r>
          </w:p>
        </w:tc>
        <w:tc>
          <w:tcPr>
            <w:tcW w:w="305" w:type="dxa"/>
            <w:tcBorders/>
            <w:shd w:fill="CCEEFF" w:val="clear"/>
            <w:tcMar>
              <w:bottom w:w="0" w:type="dxa"/>
            </w:tcMar>
            <w:vAlign w:val="center"/>
          </w:tcPr>
          <w:p>
            <w:pPr>
              <w:pStyle w:val="TableContents"/>
              <w:spacing w:before="0" w:after="283"/>
              <w:jc w:val="left"/>
              <w:rPr/>
            </w:pPr>
            <w:r>
              <w:rPr/>
              <w:t>)%</w:t>
            </w:r>
          </w:p>
        </w:tc>
      </w:tr>
      <w:tr>
        <w:trPr/>
        <w:tc>
          <w:tcPr>
            <w:tcW w:w="545" w:type="dxa"/>
            <w:tcBorders/>
            <w:shd w:fill="FFFFFF" w:val="clear"/>
            <w:tcMar>
              <w:bottom w:w="0" w:type="dxa"/>
            </w:tcMar>
            <w:vAlign w:val="center"/>
          </w:tcPr>
          <w:p>
            <w:pPr>
              <w:pStyle w:val="TableContents"/>
              <w:spacing w:before="0" w:after="283"/>
              <w:jc w:val="center"/>
              <w:rPr>
                <w:i/>
              </w:rPr>
            </w:pPr>
            <w:r>
              <w:rPr>
                <w:i/>
              </w:rPr>
              <w:t>2020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9" w:type="dxa"/>
            <w:tcBorders/>
            <w:shd w:fill="FFFFFF" w:val="clear"/>
            <w:tcMar>
              <w:bottom w:w="0" w:type="dxa"/>
            </w:tcMar>
            <w:vAlign w:val="center"/>
          </w:tcPr>
          <w:p>
            <w:pPr>
              <w:pStyle w:val="TableContents"/>
              <w:spacing w:before="0" w:after="283"/>
              <w:jc w:val="left"/>
              <w:rPr/>
            </w:pPr>
            <w:r>
              <w:rPr/>
              <w:t>$</w:t>
            </w:r>
          </w:p>
        </w:tc>
        <w:tc>
          <w:tcPr>
            <w:tcW w:w="1175" w:type="dxa"/>
            <w:tcBorders/>
            <w:shd w:fill="FFFFFF" w:val="clear"/>
            <w:tcMar>
              <w:bottom w:w="0" w:type="dxa"/>
            </w:tcMar>
            <w:vAlign w:val="center"/>
          </w:tcPr>
          <w:p>
            <w:pPr>
              <w:pStyle w:val="TableContents"/>
              <w:spacing w:before="0" w:after="283"/>
              <w:jc w:val="right"/>
              <w:rPr/>
            </w:pPr>
            <w:r>
              <w:rPr/>
              <w:t>38,655,264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1008" w:type="dxa"/>
            <w:tcBorders/>
            <w:shd w:fill="FFFFFF" w:val="clear"/>
            <w:tcMar>
              <w:bottom w:w="0" w:type="dxa"/>
            </w:tcMar>
            <w:vAlign w:val="center"/>
          </w:tcPr>
          <w:p>
            <w:pPr>
              <w:pStyle w:val="TableContents"/>
              <w:spacing w:before="0" w:after="283"/>
              <w:jc w:val="right"/>
              <w:rPr/>
            </w:pPr>
            <w:r>
              <w:rPr/>
              <w:t>46</w:t>
            </w:r>
          </w:p>
        </w:tc>
        <w:tc>
          <w:tcPr>
            <w:tcW w:w="21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553" w:type="dxa"/>
            <w:tcBorders/>
            <w:shd w:fill="FFFFFF" w:val="clear"/>
            <w:tcMar>
              <w:bottom w:w="0" w:type="dxa"/>
            </w:tcMar>
            <w:vAlign w:val="center"/>
          </w:tcPr>
          <w:p>
            <w:pPr>
              <w:pStyle w:val="TableContents"/>
              <w:spacing w:before="0" w:after="283"/>
              <w:jc w:val="right"/>
              <w:rPr/>
            </w:pPr>
            <w:r>
              <w:rPr/>
              <w:t>3,820,698</w:t>
            </w:r>
          </w:p>
        </w:tc>
        <w:tc>
          <w:tcPr>
            <w:tcW w:w="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85"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10</w:t>
            </w:r>
          </w:p>
        </w:tc>
        <w:tc>
          <w:tcPr>
            <w:tcW w:w="29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942"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05" w:type="dxa"/>
            <w:tcBorders/>
            <w:shd w:fill="FFFFFF" w:val="clear"/>
            <w:tcMar>
              <w:bottom w:w="0" w:type="dxa"/>
            </w:tcMar>
            <w:vAlign w:val="center"/>
          </w:tcPr>
          <w:p>
            <w:pPr>
              <w:pStyle w:val="TableContents"/>
              <w:spacing w:before="0" w:after="283"/>
              <w:jc w:val="left"/>
              <w:rPr/>
            </w:pPr>
            <w:r>
              <w:rPr/>
              <w:t> </w:t>
            </w:r>
          </w:p>
        </w:tc>
      </w:tr>
      <w:tr>
        <w:trPr/>
        <w:tc>
          <w:tcPr>
            <w:tcW w:w="545" w:type="dxa"/>
            <w:tcBorders/>
            <w:shd w:fill="CCEEFF" w:val="clear"/>
            <w:tcMar>
              <w:bottom w:w="0" w:type="dxa"/>
            </w:tcMar>
            <w:vAlign w:val="center"/>
          </w:tcPr>
          <w:p>
            <w:pPr>
              <w:pStyle w:val="TableContents"/>
              <w:spacing w:before="0" w:after="283"/>
              <w:jc w:val="center"/>
              <w:rPr>
                <w:i/>
              </w:rPr>
            </w:pPr>
            <w:r>
              <w:rPr>
                <w:i/>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9" w:type="dxa"/>
            <w:tcBorders/>
            <w:shd w:fill="CCEEFF" w:val="clear"/>
            <w:tcMar>
              <w:bottom w:w="0" w:type="dxa"/>
            </w:tcMar>
            <w:vAlign w:val="center"/>
          </w:tcPr>
          <w:p>
            <w:pPr>
              <w:pStyle w:val="TableContents"/>
              <w:spacing w:before="0" w:after="283"/>
              <w:jc w:val="left"/>
              <w:rPr/>
            </w:pPr>
            <w:r>
              <w:rPr/>
              <w:t>$</w:t>
            </w:r>
          </w:p>
        </w:tc>
        <w:tc>
          <w:tcPr>
            <w:tcW w:w="1175" w:type="dxa"/>
            <w:tcBorders/>
            <w:shd w:fill="CCEEFF" w:val="clear"/>
            <w:tcMar>
              <w:bottom w:w="0" w:type="dxa"/>
            </w:tcMar>
            <w:vAlign w:val="center"/>
          </w:tcPr>
          <w:p>
            <w:pPr>
              <w:pStyle w:val="TableContents"/>
              <w:spacing w:before="0" w:after="283"/>
              <w:jc w:val="right"/>
              <w:rPr/>
            </w:pPr>
            <w:r>
              <w:rPr/>
              <w:t>62,792,981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1" w:type="dxa"/>
            <w:tcBorders/>
            <w:shd w:fill="CCEEFF" w:val="clear"/>
            <w:tcMar>
              <w:bottom w:w="0" w:type="dxa"/>
            </w:tcMar>
            <w:vAlign w:val="center"/>
          </w:tcPr>
          <w:p>
            <w:pPr>
              <w:pStyle w:val="TableContents"/>
              <w:spacing w:before="0" w:after="283"/>
              <w:jc w:val="left"/>
              <w:rPr/>
            </w:pPr>
            <w:r>
              <w:rPr/>
              <w:t> </w:t>
            </w:r>
          </w:p>
        </w:tc>
        <w:tc>
          <w:tcPr>
            <w:tcW w:w="1008" w:type="dxa"/>
            <w:tcBorders/>
            <w:shd w:fill="CCEEFF" w:val="clear"/>
            <w:tcMar>
              <w:bottom w:w="0" w:type="dxa"/>
            </w:tcMar>
            <w:vAlign w:val="center"/>
          </w:tcPr>
          <w:p>
            <w:pPr>
              <w:pStyle w:val="TableContents"/>
              <w:spacing w:before="0" w:after="283"/>
              <w:jc w:val="right"/>
              <w:rPr/>
            </w:pPr>
            <w:r>
              <w:rPr/>
              <w:t>62</w:t>
            </w:r>
          </w:p>
        </w:tc>
        <w:tc>
          <w:tcPr>
            <w:tcW w:w="21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553" w:type="dxa"/>
            <w:tcBorders/>
            <w:shd w:fill="CCEEFF" w:val="clear"/>
            <w:tcMar>
              <w:bottom w:w="0" w:type="dxa"/>
            </w:tcMar>
            <w:vAlign w:val="center"/>
          </w:tcPr>
          <w:p>
            <w:pPr>
              <w:pStyle w:val="TableContents"/>
              <w:spacing w:before="0" w:after="283"/>
              <w:jc w:val="right"/>
              <w:rPr/>
            </w:pPr>
            <w:r>
              <w:rPr/>
              <w:t>4,783,773</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5" w:type="dxa"/>
            <w:tcBorders/>
            <w:shd w:fill="CCEEFF" w:val="clear"/>
            <w:tcMar>
              <w:bottom w:w="0" w:type="dxa"/>
            </w:tcMar>
            <w:vAlign w:val="center"/>
          </w:tcPr>
          <w:p>
            <w:pPr>
              <w:pStyle w:val="TableContents"/>
              <w:spacing w:before="0" w:after="283"/>
              <w:jc w:val="left"/>
              <w:rPr/>
            </w:pPr>
            <w:r>
              <w:rPr/>
              <w:t> </w:t>
            </w:r>
          </w:p>
        </w:tc>
        <w:tc>
          <w:tcPr>
            <w:tcW w:w="1674" w:type="dxa"/>
            <w:tcBorders/>
            <w:shd w:fill="CCEEFF" w:val="clear"/>
            <w:tcMar>
              <w:bottom w:w="0" w:type="dxa"/>
            </w:tcMar>
            <w:vAlign w:val="center"/>
          </w:tcPr>
          <w:p>
            <w:pPr>
              <w:pStyle w:val="TableContents"/>
              <w:spacing w:before="0" w:after="283"/>
              <w:jc w:val="right"/>
              <w:rPr/>
            </w:pPr>
            <w:r>
              <w:rPr/>
              <w:t>8</w:t>
            </w:r>
          </w:p>
        </w:tc>
        <w:tc>
          <w:tcPr>
            <w:tcW w:w="290"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13" w:type="dxa"/>
            <w:tcBorders/>
            <w:shd w:fill="CCEEFF" w:val="clear"/>
            <w:tcMar>
              <w:bottom w:w="0" w:type="dxa"/>
            </w:tcMar>
            <w:vAlign w:val="center"/>
          </w:tcPr>
          <w:p>
            <w:pPr>
              <w:pStyle w:val="TableContents"/>
              <w:spacing w:before="0" w:after="283"/>
              <w:jc w:val="left"/>
              <w:rPr/>
            </w:pPr>
            <w:r>
              <w:rPr/>
              <w:t> </w:t>
            </w:r>
          </w:p>
        </w:tc>
        <w:tc>
          <w:tcPr>
            <w:tcW w:w="942" w:type="dxa"/>
            <w:tcBorders/>
            <w:shd w:fill="CCEEFF" w:val="clear"/>
            <w:tcMar>
              <w:bottom w:w="0" w:type="dxa"/>
            </w:tcMar>
            <w:vAlign w:val="center"/>
          </w:tcPr>
          <w:p>
            <w:pPr>
              <w:pStyle w:val="TableContents"/>
              <w:spacing w:before="0" w:after="283"/>
              <w:jc w:val="right"/>
              <w:rPr/>
            </w:pPr>
            <w:r>
              <w:rPr/>
              <w:t>25</w:t>
            </w:r>
          </w:p>
        </w:tc>
        <w:tc>
          <w:tcPr>
            <w:tcW w:w="305" w:type="dxa"/>
            <w:tcBorders/>
            <w:shd w:fill="CCEEFF" w:val="clear"/>
            <w:tcMar>
              <w:bottom w:w="0" w:type="dxa"/>
            </w:tcMar>
            <w:vAlign w:val="center"/>
          </w:tcPr>
          <w:p>
            <w:pPr>
              <w:pStyle w:val="TableContents"/>
              <w:spacing w:before="0" w:after="283"/>
              <w:jc w:val="left"/>
              <w:rPr/>
            </w:pPr>
            <w:r>
              <w:rPr/>
              <w:t>%</w:t>
            </w:r>
          </w:p>
        </w:tc>
      </w:tr>
      <w:tr>
        <w:trPr/>
        <w:tc>
          <w:tcPr>
            <w:tcW w:w="545" w:type="dxa"/>
            <w:tcBorders/>
            <w:shd w:fill="FFFFFF" w:val="clear"/>
            <w:tcMar>
              <w:bottom w:w="0" w:type="dxa"/>
            </w:tcMar>
            <w:vAlign w:val="center"/>
          </w:tcPr>
          <w:p>
            <w:pPr>
              <w:pStyle w:val="TableContents"/>
              <w:spacing w:before="0" w:after="283"/>
              <w:jc w:val="center"/>
              <w:rPr>
                <w:i/>
              </w:rPr>
            </w:pPr>
            <w:r>
              <w:rPr>
                <w:i/>
              </w:rPr>
              <w:t>2022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9" w:type="dxa"/>
            <w:tcBorders/>
            <w:shd w:fill="FFFFFF" w:val="clear"/>
            <w:tcMar>
              <w:bottom w:w="0" w:type="dxa"/>
            </w:tcMar>
            <w:vAlign w:val="center"/>
          </w:tcPr>
          <w:p>
            <w:pPr>
              <w:pStyle w:val="TableContents"/>
              <w:spacing w:before="0" w:after="283"/>
              <w:jc w:val="left"/>
              <w:rPr/>
            </w:pPr>
            <w:r>
              <w:rPr/>
              <w:t>$</w:t>
            </w:r>
          </w:p>
        </w:tc>
        <w:tc>
          <w:tcPr>
            <w:tcW w:w="1175" w:type="dxa"/>
            <w:tcBorders/>
            <w:shd w:fill="FFFFFF" w:val="clear"/>
            <w:tcMar>
              <w:bottom w:w="0" w:type="dxa"/>
            </w:tcMar>
            <w:vAlign w:val="center"/>
          </w:tcPr>
          <w:p>
            <w:pPr>
              <w:pStyle w:val="TableContents"/>
              <w:spacing w:before="0" w:after="283"/>
              <w:jc w:val="right"/>
              <w:rPr/>
            </w:pPr>
            <w:r>
              <w:rPr/>
              <w:t>95,930,091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1008" w:type="dxa"/>
            <w:tcBorders/>
            <w:shd w:fill="FFFFFF" w:val="clear"/>
            <w:tcMar>
              <w:bottom w:w="0" w:type="dxa"/>
            </w:tcMar>
            <w:vAlign w:val="center"/>
          </w:tcPr>
          <w:p>
            <w:pPr>
              <w:pStyle w:val="TableContents"/>
              <w:spacing w:before="0" w:after="283"/>
              <w:jc w:val="right"/>
              <w:rPr/>
            </w:pPr>
            <w:r>
              <w:rPr/>
              <w:t>53</w:t>
            </w:r>
          </w:p>
        </w:tc>
        <w:tc>
          <w:tcPr>
            <w:tcW w:w="21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553" w:type="dxa"/>
            <w:tcBorders/>
            <w:shd w:fill="FFFFFF" w:val="clear"/>
            <w:tcMar>
              <w:bottom w:w="0" w:type="dxa"/>
            </w:tcMar>
            <w:vAlign w:val="center"/>
          </w:tcPr>
          <w:p>
            <w:pPr>
              <w:pStyle w:val="TableContents"/>
              <w:spacing w:before="0" w:after="283"/>
              <w:jc w:val="right"/>
              <w:rPr/>
            </w:pPr>
            <w:r>
              <w:rPr/>
              <w:t>(1,477,623</w:t>
            </w:r>
          </w:p>
        </w:tc>
        <w:tc>
          <w:tcPr>
            <w:tcW w:w="95"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385"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(2</w:t>
            </w:r>
          </w:p>
        </w:tc>
        <w:tc>
          <w:tcPr>
            <w:tcW w:w="29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942" w:type="dxa"/>
            <w:tcBorders/>
            <w:shd w:fill="FFFFFF" w:val="clear"/>
            <w:tcMar>
              <w:bottom w:w="0" w:type="dxa"/>
            </w:tcMar>
            <w:vAlign w:val="center"/>
          </w:tcPr>
          <w:p>
            <w:pPr>
              <w:pStyle w:val="TableContents"/>
              <w:spacing w:before="0" w:after="283"/>
              <w:jc w:val="right"/>
              <w:rPr/>
            </w:pPr>
            <w:r>
              <w:rPr/>
              <w:t>(131</w:t>
            </w:r>
          </w:p>
        </w:tc>
        <w:tc>
          <w:tcPr>
            <w:tcW w:w="305" w:type="dxa"/>
            <w:tcBorders/>
            <w:shd w:fill="FFFFFF" w:val="clear"/>
            <w:tcMar>
              <w:bottom w:w="0" w:type="dxa"/>
            </w:tcMar>
            <w:vAlign w:val="center"/>
          </w:tcPr>
          <w:p>
            <w:pPr>
              <w:pStyle w:val="TableContents"/>
              <w:spacing w:before="0" w:after="283"/>
              <w:jc w:val="left"/>
              <w:rPr/>
            </w:pPr>
            <w:r>
              <w:rPr/>
              <w:t>)%</w:t>
            </w:r>
          </w:p>
        </w:tc>
      </w:tr>
    </w:tbl>
    <w:p>
      <w:pPr>
        <w:pStyle w:val="TextBody"/>
        <w:jc w:val="center"/>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and 2021, approximately 100% of our revenue was through or with the Amazon sales platform.</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Strategy and Policies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ideal world, we would like to price our products at key stone pricing or double wholesale cost. However, we operate in a hyper competitive environment and we must stay competitive. Therefore, we must draw a good balance between gross margin and revenue. Our main objectives focus on increasing volume and maximizing profits, which is achieved with a customized auto pricing system we developed internally, in combination with well-trained business managers’ judgment on pricing skills as well as constant monitoring. One principal feature of the pricing system is that it automatically syncs public data of competing offers from Amazon regularly, so business managers can make price settings and adjustments based on accurate data, and thus be able to set optimal selling prices for products. In addition, the system is constantly improved with new features and optimizations.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high level, our automated pricing tool helps us stay competitive while our business managers mainly focus on increasing gross margins. Our proprietary repricing tool analyze sales trend, projected sales, inventory age, inventory cost, potential profits, Fulfillment by Amazon (“FBA”) fees, competing offers, and seasonality and determines an urgency level, then depending on the level of urgency, it automatically adjusts prices accordingly.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managers, after establishing the bases for prices, begin to develop pricing strategies for each product while taking the current market conditions, company goals (e.g., increasing short-term or long-term profits) and strategies into consideration. Furthermore, business managers consider different marketing segments such as costs and competitions in order to develop effective pricing strategies and policies.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subsections provide more insight into various pricing strategies we have developed over the years. Our internal training mainly focuses on competition-based pricing policy and value-based pricing policy.</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2"/>
        <w:gridCol w:w="999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Competition-Based Pricing Policy: </w:t>
            </w:r>
            <w:r>
              <w:rPr>
                <w:rFonts w:ascii="Times New Roman;Times;Serif" w:hAnsi="Times New Roman;Times;Serif"/>
                <w:b w:val="false"/>
                <w:i w:val="false"/>
                <w:caps w:val="false"/>
                <w:smallCaps w:val="false"/>
                <w:sz w:val="20"/>
              </w:rPr>
              <w:t>20% of our products are toys, which are extremely popular and competitive. In this type of environment where volume is high but gross margin is low, our main strategy is to purchase large quantities, so we can increase sales volume and price competitively while maintaining an average return on investment (“ROI”) of at least 15%. We are using the competition-based pricing policy to match competitors’ prices, which means constantly winning Buy Box (as described below). Our pricing system is capable of automatically matching all Buy Box.</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Promotional Pricing Policy: </w:t>
            </w:r>
            <w:r>
              <w:rPr>
                <w:rFonts w:ascii="Times New Roman;Times;Serif" w:hAnsi="Times New Roman;Times;Serif"/>
                <w:b w:val="false"/>
                <w:i w:val="false"/>
                <w:caps w:val="false"/>
                <w:smallCaps w:val="false"/>
                <w:sz w:val="20"/>
              </w:rPr>
              <w:t>To boost lagging sales, we adapted our own promotional pricing policy, which involves offering modest discounts on products with inventory age over 45 days, which proves to be cost-effective at reducing the number of low turn-over SKUs.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Value-Based Pricing Policy:</w:t>
            </w:r>
            <w:r>
              <w:rPr>
                <w:rFonts w:ascii="Times New Roman;Times;Serif" w:hAnsi="Times New Roman;Times;Serif"/>
                <w:b w:val="false"/>
                <w:i w:val="false"/>
                <w:caps w:val="false"/>
                <w:smallCaps w:val="false"/>
                <w:sz w:val="20"/>
              </w:rPr>
              <w:t xml:space="preserve"> We incorporate a value-based pricing strategy when inventories are constrained, which can happen when customer demand suddenly spikes due to external factors, supply shortage, or seasonal spikes. We set prices to reflect the value perceived by customers, especially on products under gift categories when consumer demands are higher. Contrary to a typical seller, we opt to maintain high gross margin instead of marking down prices and running special deals during the high-demand season during Q4. Therefore, business managers can achieve increases in both sales and high average ROI of 40%.</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 Box on </w:t>
      </w:r>
      <w:r>
        <w:rPr>
          <w:rFonts w:ascii="Times New Roman;Times;Serif" w:hAnsi="Times New Roman;Times;Serif"/>
          <w:b w:val="false"/>
          <w:i/>
          <w:caps w:val="false"/>
          <w:smallCaps w:val="false"/>
          <w:sz w:val="20"/>
        </w:rPr>
        <w:t>amazon.com</w:t>
      </w:r>
      <w:r>
        <w:rPr>
          <w:rFonts w:ascii="Times New Roman;Times;Serif" w:hAnsi="Times New Roman;Times;Serif"/>
          <w:b w:val="false"/>
          <w:i w:val="false"/>
          <w:caps w:val="false"/>
          <w:smallCaps w:val="false"/>
          <w:sz w:val="20"/>
        </w:rPr>
        <w:t xml:space="preserve"> is the top right section on a product page where customers can directly add items to their shopping carts. Since many sellers on </w:t>
      </w:r>
      <w:r>
        <w:rPr>
          <w:rFonts w:ascii="Times New Roman;Times;Serif" w:hAnsi="Times New Roman;Times;Serif"/>
          <w:b w:val="false"/>
          <w:i/>
          <w:caps w:val="false"/>
          <w:smallCaps w:val="false"/>
          <w:sz w:val="20"/>
        </w:rPr>
        <w:t>amazon.com</w:t>
      </w:r>
      <w:r>
        <w:rPr>
          <w:rFonts w:ascii="Times New Roman;Times;Serif" w:hAnsi="Times New Roman;Times;Serif"/>
          <w:b w:val="false"/>
          <w:i w:val="false"/>
          <w:caps w:val="false"/>
          <w:smallCaps w:val="false"/>
          <w:sz w:val="20"/>
        </w:rPr>
        <w:t xml:space="preserve"> can sell the same product, they must compete to “win the Buy Box” for a certain product. Winning the Amazon Buy Box simply means that you were chosen for the Buy Box placement. When you win this placement, customers have a button to directly add your product to their carts, giving you an advantage over competing sellers. For a seller to be eligible for the Buy Box, they must meet a set of performance-based requirements, including order defect rate, customer shopping experience, time and experience on the Amazon selling platform, and status as a professional seller.</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Market &amp; Competition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Marketplace Pulse, total U.S.US retail sales increased 18% to $6.56 trillion in 2021 from $5.56 trillion in 2020. U.S. ecommerce sales increased 18% to $960.15 billion in 2021 from $811.56 billion in 2020.</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total U.S. ecommerce sales reached $959.5 billion, an 18.3% year-over-year increase from $811.6 billion in 2020. This is significantly less than the U.S. ecommerce growth rate of 2020, during which total sales increased by 42.4% year-over-year from 2019.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slowdown, total U.S. ecommerce sales in 2021 still marked the highest on record. This is an impressive increase from a decade ago in 2011 when online sales in the U.S. totaled $199.3 billion. A year later, it breached the $200 billion mark for the very first time. From 2011 to 2021, annual U.S. ecommerce sales multiplied by nearly five times.</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6381750" cy="2981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2981325"/>
                    </a:xfrm>
                    <a:prstGeom prst="rect">
                      <a:avLst/>
                    </a:prstGeom>
                  </pic:spPr>
                </pic:pic>
              </a:graphicData>
            </a:graphic>
          </wp:inline>
        </w:drawing>
      </w: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 Market Size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Addressable Market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e-commerce company retailing in the U.S. market, our total addressable market covers all U.S. residents with Internet access, which segmentally includes repeat customers and new customers to online shopping every year.</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6381750" cy="2314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81750" cy="231457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of E-commerce vs. Total Retail Sales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U.S. Department of Commerce data, e-commerce’s share of total retail sales has steadily been on the rise and peaked at 16.4% in the second quarter of 2020. Total U.S. retail sales increased 18% to $6.56 trillion in 2021 from $5.56 trillion in 2020. Consumers spent $960.15 billion online with U.S. merchants in 2021, which is around 14.63% of total U.S. retail sales for the year compared to 14.60% in 2020.</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accounted for nearly 40% of all e-commerce in the United States and that makes Amazon the biggest ecommerce giant currently in the market.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of Amazon Prime Members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present, Amazon has approximately 200 million Prime Members in the U.S., and we were seeing continuous year-over-year growth over the past years.</w:t>
      </w:r>
    </w:p>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Operational Advantages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Marketplace Pulse (dated January 17, 2023), Hour Loop is one of the top 10 third-party sellers on U.S. Amazon.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 proprietary software that is tailor made to all our operational needs. This includes managing order review process, shipment managements, inventory management, accounting, and complete end-to-end third-party integrations. This allows us to scale, reduce cost, and improve quality.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Profitability Management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operations managers tracking team performances with key performance indicators. We have departments specializing in logistic costs, advertising, marketing, and product management. We hold monthly process reviews to identify early red flags and look for areas to optimize. Each quarter we set increasingly difficult bars both to grow gross margin and further reduce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Continuous Process Optimization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improve operating efficiencies, we have effective process optimization adapting to the changing policies of the e-commerce marketplace. We continuously analyze our performance based on data. We conduct pricing, inventory planning and profitability analysis using this data. This analysis provides us with insights on the processes that add the most value. Using these insights, we develop guidelines that help us improve our operations. These guidelines are incorporated into our operations which include (but are not limited to), identifying and ordering at optimal inventory levels, managing merchandise storage costs, optimizing transit times, and pricing at appropriate levels. Our operations staff follows these guidelines which help them perform optimally. By continuously analyzing data, we are able to find insights for improving our business. This drives continuous process optimization and its implementation into our operations. In addition, our proprietary software allows us to continually accelerate process effectiveness based on specific requirements. Over time, our system eliminates unnecessary procedures that could be replaced by an advanced algorithm. For instance, we simplify the FBA shipment process through application programming interface (“API”) integration. Our self-developed system also tracks insightful analysis of our profitability, clearer visualizes the drivers and optimums to better manage operational costs. We monitor operational parameters that drive our business and proactively try to optimize them. These include fine tuning our item selection, managing our inventory levels, estimating demand and pricing to maximize our profitability.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Data-Driven Approach</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decisions based on analysis and interpretation of the data sets rather than observations over the market trend. By standardizing processes and combine data-driven management, we can ensure the organization maintains consistency that is high quality. Our business managers use historical data and sales projection provided by our proprietary software to find potential product gaps and keep products in stock all year round. This advantage enables powerful predictive insights in correlating real-time data with past sales patterns.</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Training Programs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training programs accelerate employees’ professional development and enable the Company to hire new graduates or people without experience. Our training programs are very task-specific and we continually improve the materials in order to fit new industry needs. Other than the training material, we assign mentors to evaluate and monitor trainees’ performance at each stage of the training program.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Task Generalization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generalizing each task with a standard process, we are able to shift assignments at regular intervals in order to find the most suitable employee for each specific task. Moreover, business managers are also able to rotate the vendors they manage easily. This allows our organization to effectively and consistently manage a vendor when a key employee who previously managed such vendor is no longer with the company. In addition, the task generalization allows the company to hire remote teams to further reduce labor costs.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Multicultural Management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multicultural management team that is linguistically and culturally diverse in order to make judgments from different perspectives. Our remote teams in Taiwan and the Philippines provide diverse professional insights on specific tasks.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advantages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software architecture was designed from the ground up to be scalable, secured, and easily extensible. By using JRuby on Rails, we can make use the best parts of Java, Ruby, and Rails without paying for their disadvantages. For example, we can use the massive collections of Java library, portability, speed, multi-threading, and maturity, but we do not have to be tied down with verbose code and strict typing. Rails allow us to quickly build web pages and integrate both the frontend and the backend. The application runs on Amazon Web Services (“AWS”) and can be easily scaled up to as many hosts as needed. It is accessible from a browser, so there is no need to setup or install anything on the client-side.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Advantage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Access to Low Product Costs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lower our product average costs by direct import items that have high volume, purchasing in bulk with better prices, and negotiating discounts or rebates over increased purchase volume every year. Our strong growth of purchase every year allows us to negotiate better discounts than the rivals. Therefore, we have the cost advantages to compete at low prices.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Efficient Processes and Technologies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software allows us to tailor make tools based on our specific use cases and leverage technologies to greatly reduce manual operations. We also saved the expense of using third-party software in managing inventory, orders, product listings, and especially the advertising analytic tool.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Low Distribution and Logistic costs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saved the cost of managing the warehouse, shipping, and product distribution as we are enrolled in Amazon’s FBA program. The program allows us to reduce fixed costs of the physical assets and quickly scale up the business without thinking much about infrastructure complexity. Apart from using the FBA program, we also use FedEx, Amazon partnered carrier, Amazon Freight, and Amazon Global Logistics to reduce expense. The competitive shipping rates we secured provide us a cost-efficient way to deliver shipments from overseas and domestic to Amazon warehouse.</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Efficiently Managed Operations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good management structure within the firm and a data-driven system that allows employees to manage tasks quickly and cost-efficiently.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Reduced Labor Costs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third-party logistic companies to forward or prep our shipments to Amazon, which reduces our logistic operation labor costs. We also work with a labor outsourcing partner located in the Philippines that provides virtual assistants to help us with data entry and repetitive work, which is a very cost-effective way to do a lot of grunt work.</w:t>
      </w:r>
    </w:p>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Competitors by Market Size/Share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competitor is Amazon Retail. Amazon Retail frequently buys from the same brands we sell and sells them at a loss. Amazon Retail offers can be identified by the “Sold by Amazon” tag on Amazon’s site, and they are formed by two components: (i) Amazon Vendor Central, and (ii) the Sold by Amazon (“SBA”) program. We do not consider other third-party sellers as key competitors, because none of them represents enough market share to influence sales outcome. The addressable market is incredibly vast; thus we believe there are plenty of opportunities for everyone.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Amazon Vendor Central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Vendor Central allows manufacturers and brand owners to sell directly to Amazon as a first-party seller. This is one of the key competitive factors as Amazon usually buys bulk from the brands and sells at a very low price, which leads to hyper-competitive pricing. On pricing control, Amazon does not always follow the minimum advertised pricing (“MAP”) guidelines from manufacturers, which also puts us at a disadvantage when selling the same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Sold by Amazon Program</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rise of e-commerce platforms, Amazon is looking for opportunities to attract customers away from its retail store rivals. In 2019, Amazon rolled out its new SBA program to help sellers grow their business. This program gives brand owners the control of inventory management and listings with Amazon having the authority to constantly monitor and change the price to make sure customers are getting the best deals. Once the products are enrolled in the SBA program, Amazon will set the minimum gross proceeds (“MGP”) to pay sellers the lowest possible amount on each unit sold. This new program is another threat to our company as Amazon is the one taking control of pricing, and they set the price very low in order to compete with competitors’ low price strategy.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Competitor Strengths and Weaknesses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Strengths of Sold by Amazon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ship from and SBA creates competition for potential customers who prefer to buy products from Amazon rather than a third-party seller. Secondly, Amazon monitors and manages pricing which makes the product price range at a highly competitive level. In fact, the chance of Amazon winning buy box is even higher as they have the best deal for customers. Finally, Amazon is not restricted by its policy to third-party sellers. One of the critical policies is the restock limit. Amazon limits certain items’ restock quantities based on recent sales activity, and this affects the in-stock rate of popular items that needs a greater volume.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Weaknesses of Sold by Amazon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Amazon focuses on sales more than relationships with vendors, they do not follow vendors’ MAP strictly. We believe this has led to the devaluation of brands and will have a negative impact on building a long-term relationship with the vendors. Once the vendor hands over their price control to Amazon, we believe it is unlikely for them to sell at their original target price further, and it influences their offline sales. And in fact, it makes a huge difference in profitability to both Amazon and the vendor when reacts to the competitive pricing changes.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weaknesses of business relationships, we believe Amazon also has disadvantages in the niche marketplaces, where product offerings are narrower and more personalized. As a third-party seller, we cooperate with vendors in developing custom projects that bring product differentiation and scarcity effect. However, we believe Amazon only concentrates on the masses, which gives them the deficiency of having products that are targeted in certain market segments.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Substitute Products Posing Credible Threat to Company Products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 substitute products would pose a credible threat to our company as we have developed a wide product diversification.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that focuses on reselling wholesale products, we have the resilience to find substitution of products or brands. We established product diversification by managing wide range of SKUs and continually expand our product categories. Our business strategy allows us to mitigate risk and generate significant profit by selling low volumes items diversified across a large variety of products.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private labels sellers manage small number of SKUs that have large volumes in return with higher profit per unit. However, private labels have much higher risk when experiencing stagnant or declining sales as they would have lower capability to find sales replacements that are already established.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Strength of Barriers to Entry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Higher Capital, Low Margin:</w:t>
      </w:r>
      <w:r>
        <w:rPr>
          <w:rFonts w:ascii="Times New Roman;Times;Serif" w:hAnsi="Times New Roman;Times;Serif"/>
          <w:b w:val="false"/>
          <w:i w:val="false"/>
          <w:caps w:val="false"/>
          <w:smallCaps w:val="false"/>
          <w:sz w:val="20"/>
        </w:rPr>
        <w:t xml:space="preserve"> Selling online is generally low margin, but it requires high capital investment in order to purchase goods and run advertising.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 Differentiation:</w:t>
      </w:r>
      <w:r>
        <w:rPr>
          <w:rFonts w:ascii="Times New Roman;Times;Serif" w:hAnsi="Times New Roman;Times;Serif"/>
          <w:b w:val="false"/>
          <w:i w:val="false"/>
          <w:caps w:val="false"/>
          <w:smallCaps w:val="false"/>
          <w:sz w:val="20"/>
        </w:rPr>
        <w:t xml:space="preserve"> Our proprietary software allows us to manage a huge number of SKUs. This allows us to participate in profitable long-tail products in addition to well-known popular ones. The turnover rate for long-tail products is slow, so newcomers are not likely to enter. It also requires a sophisticated system to manage. Furthermore, vendor relationships do not happen overnight.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Advanced System</w:t>
      </w:r>
      <w:r>
        <w:rPr>
          <w:rFonts w:ascii="Times New Roman;Times;Serif" w:hAnsi="Times New Roman;Times;Serif"/>
          <w:b w:val="false"/>
          <w:i w:val="false"/>
          <w:caps w:val="false"/>
          <w:smallCaps w:val="false"/>
          <w:sz w:val="20"/>
        </w:rPr>
        <w:t>: We have already developed a highly sophisticated system which has been refined over time to become highly effective. Even if a new entrant has a team of the best software engineers in the world, it will still take them many years to refine their system. There is a myriad of intricacies as to the effectiveness of a system. Even if the new entrants have the system built, it will still take them years to collect historical sales data. By the time new entrants have done all that, our system would have continued to mature. This means we would be able to manage more SKUs more profitably with lower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of Entry- Potential Entrants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Vendor Vertical Integration</w:t>
      </w:r>
      <w:r>
        <w:rPr>
          <w:rFonts w:ascii="Times New Roman;Times;Serif" w:hAnsi="Times New Roman;Times;Serif"/>
          <w:b w:val="false"/>
          <w:i w:val="false"/>
          <w:caps w:val="false"/>
          <w:smallCaps w:val="false"/>
          <w:sz w:val="20"/>
        </w:rPr>
        <w:t>: A vendor may forward integrate into the e-commerce marketplace in order to directly engage with their online customers.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Multichannel E-commerce:</w:t>
      </w:r>
      <w:r>
        <w:rPr>
          <w:rFonts w:ascii="Times New Roman;Times;Serif" w:hAnsi="Times New Roman;Times;Serif"/>
          <w:b w:val="false"/>
          <w:i w:val="false"/>
          <w:caps w:val="false"/>
          <w:smallCaps w:val="false"/>
          <w:sz w:val="20"/>
        </w:rPr>
        <w:t xml:space="preserve"> There is a chance of established online retail firms such as sellers on eBay, Walmart, and Etsy expanding their business to the Amazon marketplace.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Brick-and-Mortar: </w:t>
      </w:r>
      <w:r>
        <w:rPr>
          <w:rFonts w:ascii="Times New Roman;Times;Serif" w:hAnsi="Times New Roman;Times;Serif"/>
          <w:b w:val="false"/>
          <w:i w:val="false"/>
          <w:caps w:val="false"/>
          <w:smallCaps w:val="false"/>
          <w:sz w:val="20"/>
        </w:rPr>
        <w:t>As the online retail is growing and offline retail is contracting, there are more brick-and-mortar stores migrating from offline to online.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Improving Sales of Popular Items and Securing the Inventories Without Paying Higher Storage Fees By Engaging the Services of Third Party Warehouses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retailer, our success is heavily influenced by the inventory control of our suppliers (vendors). However, many of our suppliers are having difficulties to maintain their stock level due to various reasons, such as the shortage of shipping containers, lack of labor, or disruption in manufacturing. The situation exacerbates during the pandemic and in peak season. In order to secure the inventories, we start to order large quantities of popular items or buying them out to store in the Amazon fulfillment center. However, the monthly storage fee of the Amazon fulfillment center in peak season (Q4) is 3.5 times higher than normal season, which puts pressure on our profits. To maintain the balance of inventory level and margins, we are currently contracting the warehousing services of third-party warehouses, including, Rahl Distribution, Inc., Rite Prep Shipping, 3Plzen, Carolina Prep &amp; Ship, and Shenzhen Linkhub Co., Ltd to support our overall stock planning process. By doing this, we can improve sales by preventing popular items from going out of stock, since we had secured adequate inventories ahead of time. Furthermore, we can also avoid paying higher Amazon storage fees in Q4.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Objectives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grew the number of vendors to more than 700, the number of business managers to almost 80, and the number of total employees to almost 200. In 2023, however, in light of the fact that many economists and business leaders had a pessimistic outlook, we are not looking for tremendous growth in 2023. Instead, we will aim to generate consistent profits and maintain cash flow as we become much more selective on product purchasing. We also expect product costs to go down and competitions to ease. We anticipate that our headcounts will go down slightly through attrition.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Supplier Development - Establishing a Vendor Acquisition Team</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in order to continue growing at a rapid pace, we established a vendor acquisition team dedicated to onboarding new vendors to drastically improve our vendor acquisition success rate. This team specialized in the skills required to convince vendors to sell us their goods. Currently, this is being done by individual business managers with varying skill levels. The objective of the vendor acquisition team is to onboard 150 vendors per year and to increase our product range as well as diversifying our product categories. The team onboarded 133 vendors in 2022. Our vendor acquisition strategy for 2023 is to focus on experienced vendors with more product selections, and the goal is to improve gross margin. For categories with high return rates such as apparel, the minimum margin requirement would be even higher.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COVID-19</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World Health Organization recognized the novel strain of coronavirus (COVID-19) as a pandemic. This COVID-19 outbreak has severely restricted the level of economic activity around the world. In response to this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The Company’s services, operating results and financial performance could be adversely affected by the overall impacts of the pandemic. Management has determined that there is no material uncertainty that casts substantial doubt on the Company’s ability to continue as a going concern. It is expected that COVID-19 might have some impact, though it is not anticipated to be significant.</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2019, the Company issued a Promissory Note (the “BofA Note”) in the amount of $785,000 to Bank of America (the “Lender”) for a loan in the amount of $785,000. The BofA Note bears interest at a rate of 8.11% per annum. The monthly payment is $15,963, consisting of $11,398 of principal and $4,565 of interest. The principle amount of $785,000 was paid in full on December 15,2020, while the accrued interest of $27,996 was still outstanding as of December 31, 2022.</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Taishin International Bank</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signed a line of credit agreement in the amount of $6,940,063 with Taishin International Bank (“Taishin”). The line of credit did not change, what changed is the amount we can further borrow and it matures on August 30, 2023. As of December 31, 2022, the outstanding balance under the Taishin line of credit was $652,316, and bears interest at a rate of 2.6% per annum. Also, Flywheel has accrued interest expense of $1,440 as of December 31, 2022.</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PPP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2020, the Company issued a promissory note (the “PPP Note”) in the amount of $27,012 under the Paycheck Protection Program (“PPP”) to JP Morgan Chase Bank, N.A. (the “Lender”). The PPP, established as part of the Coronavirus Aid, Relief, and Economic Security Act (the “CARES Act”), which was enacted on March 27, 2020, provides for loans to qualifying businesses for amounts up to 2.5 times of the average monthly payroll expenses of the qualifying business. The PPP Note was set to mature on April 7, 2022, and bore interest at a rate of 0.98% per annum, payable monthly commencing October 5, 2020, following an initial deferral period as specified under the PPP loan. The PPP Note could be prepaid at any time prior to maturity with no prepayment penalties. The Paycheck Protection Program Flexibility Act (the “Flexibility Act”), signed on June 5, 2020, amended certain provisions of the PPP, including the deferral period and repayment terms. The Flexibility Act extends the deferral period of payments of PPP loan principal, interest, and fees to the date when the U.S. Small Business Administration makes a final decision on the borrower’s application for forgiveness, or 10 months after the last day of the covered period if a borrower has not applied for forgiveness (whichever is earlier). This extension applies regardless of the terms of the PPP and does not require an amendment of the PPP. As such, the Company did not make any payments on the PPP Note during 2020.</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PPP loan, up to the entire amount of principal and accrued interest may be forgiven to the extent PPP loan proceeds are used for qualifying expenses as described in the CARES Act and applicable implementing guidance issued by the U.S. Small Business Administration under the PPP loan. On May 6, 2021, the entire amount of principal and accrued interest on the PPP Note was forgiven.</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 Corporation to C Corporation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Affiliated Loans</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receives loans and advances from its stockholders to fund its operations. As of December 31, 2022, the Company had $4,329,460 due to related parties. While stockholder payables are non-interest bearing and payable on demand, the Company and stockholders entered into loan agreements for loans with terms over one year.</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2020 and later modified on September 16, 2021, the Company, Mr. Lai and Ms. Yu entered into a loan agreement of $1,041,353 and converted it into a retroactive interest-bearing (2%) loan with a repayment date of December 31, 2021. On January 18, 2022, the Company repaid the loan in full. Together, Mr. Lai and Ms. Yu hold over 95% of the Company’s outstanding shares. Mr. Lai is the Company’s Chairman of the Board, Chief Executive Officer and Interim Chief Financial Officer. Ms. Yu is the Company’s Senior Vice President and a member of the Company’s Board of Directors.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2021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2021, the Company, Mr. Lai and Ms. Yu entered into a loan agreement with a principal amount of $4,170,418. The loan is subordinated. The annual interest rate is 2% and the repayment date is December 31, 2022. The Company had accrued interest of $120,003 as of December 31, 2022. On December 28, 2022, the Company, Mr. Lai and Ms. Yu agreed to extend the term of the loan, with the new maturity date of December 31, 2024. As amended, the annual interest rate on the loan is 5.5%.</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Splits</w:t>
      </w:r>
    </w:p>
    <w:p>
      <w:pPr>
        <w:pStyle w:val="TextBody"/>
        <w:shd w:fill="FFFFFF" w:val="clear"/>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2021, our board of directors and stockholders approved a forward stock split in a ratio of 4.44-for-1 (“Forward Stock Split”) and on September 27, 2021, we filed a certificate of amendment to our Certificate of Incorporation implementing the Forward Stock Split, effective September 27, 2021. Therefore, on September 27, 2021, following the Forward Stock Split, Sam Lai, our Chief Executive Officer, and Maggie Yu, our Senior Vice President, each held 22,200,000 shares of common stock </w:t>
      </w:r>
      <w:r>
        <w:rPr>
          <w:rFonts w:ascii="Times New Roman;Times;Serif" w:hAnsi="Times New Roman;Times;Serif"/>
          <w:b w:val="false"/>
          <w:i w:val="false"/>
          <w:caps w:val="false"/>
          <w:smallCaps w:val="false"/>
          <w:sz w:val="20"/>
          <w:highlight w:val="white"/>
        </w:rPr>
        <w:t>(for an aggregate of 44,400,000 shares of common stock)</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29, 2021, our board of directors and stockholders approved a reverse stock split in a ratio of 0.75-for-1 (“Reverse Stock Split”) and on December 1, 2021, we filed a certificate of amendment to our Certificate of Incorporation implementing the Reverse Stock Split, effective December 3, 2021. Therefore, on December 3, 2021, following the Reverse Stock Split, Sam Lai, our Chief Executive Officer, and Maggie Yu, our Senior Vice President, each held 16,650,000 shares of common stock </w:t>
      </w:r>
      <w:r>
        <w:rPr>
          <w:rFonts w:ascii="Times New Roman;Times;Serif" w:hAnsi="Times New Roman;Times;Serif"/>
          <w:b w:val="false"/>
          <w:i w:val="false"/>
          <w:caps w:val="false"/>
          <w:smallCaps w:val="false"/>
          <w:sz w:val="20"/>
          <w:highlight w:val="white"/>
        </w:rPr>
        <w:t>(for an aggregate of 33,300,000 shares of common stock).</w:t>
      </w:r>
    </w:p>
    <w:p>
      <w:pPr>
        <w:pStyle w:val="TextBody"/>
        <w:shd w:fill="FFFFFF" w:val="clear"/>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references to our common stock, share data, per share data and related information has been adjusted for the Forward Stock Split and the Reverse Stock Split as if they had occurred at the beginning of the earliest period presented. The Forward Stock Split divided each share of our outstanding common stock into 4.44 shares of common stock, and the Reverse Stock Split divided each share of our outstanding common stock into 0.75 shares of common stock, without any change in the par value per share, and the Forward Stock Split and the Reverse Stock Split correspondingly adjusted, among other things, the exercise rate of our warrants into our common stock. No fractional shares were issued in connection with the Forward Stock Split and the Reverse Stock Split, and any fractional shares resulting from the Forward Stock Split and Reverse Stock Split were rounded up to the nearest whole share.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Hour Loop, Inc. 2021 Equity Incentive Plan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2021, our Board of Directors and stockholders holding a majority of our outstanding shares of common stock approved the Hour Loop, Inc. 2021 Equity Incentive Plan (the “2021 Plan”). Under the 2021 Plan, a total of 4,995,000 shares of common stock were originally authorized for issuance pursuant to the grant of stock options, stock appreciation rights, restricted stock, restricted stock units, performance units, performance shares or other cash- or stock-based awards to officers, directors, employees and eligible consultants to the Company or its subsidiaries. Pursuant to the terms if the 2021 Plan and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31, 2023, there were 5,994,000 shares of common stock were authorized for issuance under the 2021 Plan, and 5,944,000 shares available for issuance under the 2021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Public Offering</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2022, we closed our initial public offering of 1,725,000 shares of common stock, which included the full exercise of the underwriter’s over-allotment option, at a public offering price of $4.00 per share, for aggregate gross proceeds of $6,900,000, prior to deducting underwriting discounts, commissions, and other offering expenses. Our common stock began trading on The Nasdaq Capital Market on January 7, 2022, under the symbol “HOUR”. EF Hutton, division of Benchmark Investments, LLC (“EF Hutton”), acted as sole book-running manager for the offering. The net proceeds of the offering, after deducting expenses of $743,640, were $6,156,360. Meanwhile, other costs incurred in the IPO totaled 576,168, the main nature of which was professional fees. As a result, common stock increased by $173, and additional paid-in capital increased by $5,580,020.</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expansion plan, we aggressively grew headcounts in the 1st half of 2022. Our total headcounts peaked at 201 employees (including Hour Loop and Flywheel) in April 2022. Since July, as we’ve reached scale, we have become more selective in new hires. As of December 2022, our headcount is 186 and all of them are full-time. In addition to hiring more business managers who contributed to revenue generation, we were also expanding our software engineering team, aiming for upgrading our internal system to strengthen our competitive advantages. In terms of training and development, we provide one month orientation for all business and operation new hires. We also provide frequent training sessions ranging from skills training, leadership development, and performance management. We plan to keep headcount stable, or somewhat decrease in view of turnover, in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certain information regarding our executive officers.</w:t>
      </w:r>
    </w:p>
    <w:p>
      <w:pPr>
        <w:pStyle w:val="TextBody"/>
        <w:rPr>
          <w:caps w:val="false"/>
          <w:smallCaps w:val="false"/>
        </w:rPr>
      </w:pPr>
      <w:r>
        <w:rPr>
          <w:caps w:val="false"/>
          <w:smallCaps w:val="false"/>
        </w:rPr>
        <w:t> </w:t>
      </w:r>
    </w:p>
    <w:tbl>
      <w:tblPr>
        <w:tblW w:w="9135" w:type="dxa"/>
        <w:jc w:val="left"/>
        <w:tblInd w:w="0" w:type="dxa"/>
        <w:tblCellMar>
          <w:top w:w="0" w:type="dxa"/>
          <w:left w:w="0" w:type="dxa"/>
          <w:bottom w:w="28" w:type="dxa"/>
          <w:right w:w="0" w:type="dxa"/>
        </w:tblCellMar>
      </w:tblPr>
      <w:tblGrid>
        <w:gridCol w:w="1895"/>
        <w:gridCol w:w="60"/>
        <w:gridCol w:w="350"/>
        <w:gridCol w:w="60"/>
        <w:gridCol w:w="6770"/>
      </w:tblGrid>
      <w:tr>
        <w:trPr/>
        <w:tc>
          <w:tcPr>
            <w:tcW w:w="1895"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8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Chief Executive Officer and Interim Chief Financial Officer</w:t>
            </w:r>
          </w:p>
        </w:tc>
      </w:tr>
      <w:tr>
        <w:trPr/>
        <w:tc>
          <w:tcPr>
            <w:tcW w:w="18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 Kuen (Maggie) Yu</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Director</w:t>
            </w:r>
          </w:p>
        </w:tc>
      </w:tr>
    </w:tbl>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 Lai.</w:t>
      </w:r>
      <w:r>
        <w:rPr>
          <w:rFonts w:ascii="Times New Roman;Times;Serif" w:hAnsi="Times New Roman;Times;Serif"/>
          <w:b w:val="false"/>
          <w:i w:val="false"/>
          <w:caps w:val="false"/>
          <w:smallCaps w:val="false"/>
          <w:sz w:val="20"/>
        </w:rPr>
        <w:t xml:space="preserve"> Mr. Lai has served as our Chief Executive Officer and been a member of our Board of Directors since June 2013 and our Chairman of 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reporting companies.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Sau Kuen (Maggie) Yu.</w:t>
      </w:r>
      <w:r>
        <w:rPr>
          <w:rFonts w:ascii="Times New Roman;Times;Serif" w:hAnsi="Times New Roman;Times;Serif"/>
          <w:b w:val="false"/>
          <w:i w:val="false"/>
          <w:caps w:val="false"/>
          <w:smallCaps w:val="false"/>
          <w:sz w:val="20"/>
        </w:rPr>
        <w:t xml:space="preserve"> Ms. Yu has served as our Senior Vice President and has been a member of our Board of Directors since June 2013. Since graduating from University of California, San Diego until June 2013, Ms. Yu has no employment history. Ms. Yu graduated with a Bachelor Degree in Computer Science from University of California, San Diego in 2004. Ms. Yu does not hold, and has not previously held, any directorships in any reporting companies.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 and Ms. Yu are married.</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at 8201 164th Ave. NE, #200, Redmond, WA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2023. Terms of the virtual office arrangement provide for a rent payment of $35.695 per month.</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lease a warehouse located at Floor 35, No. 1123-1139, Fangshan Beier Road, Xiangbei Industry District, Xiamen, China, where we lease approximately 1680 square meter from an unaffiliated third party. This lease expires in January, 2022. Terms of this lease provide for a base rent payment of RMB21,840 (approximately US$3,116) per month. In January, 2022, we partnered with FBABEEE located at 1st Floor, Building B, No. 2, Hongye North 17 Road, Tangxia Town, Dongguan City,Guangdong, China, who handle our storage and warehousing from an unaffiliated third party. This service expires in January, 2023. The terms of this service provide for a base payment that is charged based on our usage. Flywheel, our wholly owned subsidiary, had three new office leases in Taiwan in 2022. The respective lease terms are January 1, 2022 to December 31, 2023, June 1, 2022 to May 31, 2024, and August 1, 2022 to July 31, 2024, and the total contract amounts are $534,910, $114,016 and $157,973, respectively. We believe that these facilities are adequate for our current and near-term future needs.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5" w:name="S1_003"/>
      <w:bookmarkEnd w:id="35"/>
      <w:r>
        <w:rPr>
          <w:rFonts w:ascii="Times New Roman;Times;Serif" w:hAnsi="Times New Roman;Times;Serif"/>
          <w:b/>
          <w:i w:val="false"/>
          <w:caps w:val="false"/>
          <w:smallCaps w:val="false"/>
          <w:sz w:val="20"/>
        </w:rPr>
        <w:t>ITEM 1A. RISK FACTORS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carries a significant degree of risk. You should carefully consider the following risks, as well as the other information contained in this annual report on Form 10-K, including our historical financial statements and related notes included elsewhere in this annual report on Form 10-K, before you decide to purchase our securities. Any one of these risks and uncertainties has the potential to cause material adverse effects on our business, prospects, financial condition and operating results which could cause actual results to differ materially from any forward-looking statements expressed by us and a significant decrease in the value of our common shares. Refer to “Cautionary Statement Regarding Forward-Looking Statements.”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not be successful in preventing the material adverse effects that any of the following risks and uncertainties may cause. These potential risks and uncertainties may not be a complete list of the risks and uncertainties facing us. There may be additional risks and uncertainties that we are presently unaware of, or presently consider immaterial, that may become material in the future and have a material adverse effect on us. You could lose all or a significant portion of your investment due to any of these risks and uncertainties.</w:t>
      </w:r>
    </w:p>
    <w:p>
      <w:pPr>
        <w:pStyle w:val="TextBody"/>
        <w:ind w:left="0" w:right="0" w:firstLine="40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material risks, uncertainties and other factors that could have a material effect on the Company and its operations: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significant fluctuations in our operating results and growth rate;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successfully optimizing and operating our fulfillment and customer service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variability in our retail business places increased strain on our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increases in Amazon Marketplace fulfillment and storage fees could have an adverse impact on our profit margin and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one or more of the Company’s vendors’ policies or the Company’s relationship with those vendors could adversely affect the Company’s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dependent upon maintaining our relationship with Amazon and failure to do so, or any restrictions on our ability to offer products on the Amazon Marketplace, could have an adverse impact on our business, financial condition and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key personnel or the inability to attract, train and retain qualified employees could adversely affect the Company’s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difficulties in meeting our labor needs to effectively operate our business;</w:t>
            </w:r>
          </w:p>
        </w:tc>
      </w:tr>
    </w:tbl>
    <w:p>
      <w:pPr>
        <w:pStyle w:val="TextBody"/>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increased labor costs, including costs related to an increase in minimum wage and health care;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data security could harm our business and standing with our customers;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and software systems are vulnerable to damage, theft or intrusion that could harm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or failure to protect our intellectual property rights, or any claimed infringement by us of third-party intellectual rights, could have a negative impact on our operating results;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influenced by general economic conditions;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global capital and credit markets may have a material adverse effect on the Company’s liquidity and capital resources;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upon access to capital for its liquidity needs;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complete a future significant strategic transaction that may not achieve intended results or could increase the number of our outstanding shares or amount of outstanding debt or result in a change of control;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experienced declines, and we may continue to experience fluctuation in our level of sales and results from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Company to satisfy its liabilities and to continue as a going concern will continue to be dependent on the implementation of several items, the success of which is not certain;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with whom the Company does business may be subject to insolvency risks or may otherwise become unable or unwilling to perform their obligations to the Company;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legal and regulatory requirements could adversely affect the Company’s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may adversely affect our business, financial condition and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natural disasters, terrorism, acts of war, and public health issues may adversely affect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pandemic, epidemic or outbreak of an infectious disease, such as COVID-19, may materially and adversely affect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senior management personnel or the failure to hire and retain highly skilled and other key personnel could negatively affect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Sam Lai, our Chairman of the Board, Chief Executive Officer and Interim Chief Financial Officer, and Maggie Yu, our Senior Vice President, who are husband and wife, to control our business may limit or eliminate minority stockholders’ ability to influence corporate affairs;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is evolving and unfavorable changes could harm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product liability claims when people or property are harmed by the products we sell;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face prior period sales tax and corporate tax liabilities, penalties and collection obligations;</w:t>
            </w:r>
          </w:p>
        </w:tc>
      </w:tr>
    </w:tbl>
    <w:p>
      <w:pPr>
        <w:pStyle w:val="TextBody"/>
        <w:jc w:val="center"/>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comply with continued listing standards of The Nasdaq Capital Market (“Nasdaq”);</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state income tax rates could impact our financials negatively;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volatile, and you could lose all or part of your investment;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rPr>
                <w:caps w:val="false"/>
                <w:smallCaps w:val="false"/>
              </w:rPr>
            </w:pPr>
            <w:r>
              <w:rPr>
                <w:caps w:val="false"/>
                <w:smallCaps w:val="false"/>
              </w:rPr>
              <w:t>●</w:t>
            </w:r>
          </w:p>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accounting and inventory tracking systems could impair our ability to file accurate and timely financial statements.</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w:t>
      </w:r>
    </w:p>
    <w:p>
      <w:pPr>
        <w:pStyle w:val="TextBody"/>
        <w:shd w:fill="FFFFFF" w:val="clear"/>
        <w:ind w:left="0" w:right="0" w:firstLine="22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retail business is rapidly evolving and intensely competitive. Some of our current and potential competitors have greater resources, longer histories, and/or more customers. They may secure better terms from vendors, adopt more aggressive pricing, and devote more resources to technology, infrastructure, fulfillment, and marketing.</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continues to intensify, including with the development of new business models and the entry of new and well-funded competitors, and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continue to increase our competition. The Internet facilitates competitive entry and comparison shopping, which enhances the ability of new, smaller, or lesser-known businesses to compete against us. As a result of competition, our product offerings may not be successful, we may fail to gain or may lose business, and we may be required to increase our spending or lower prices, any of which could materially reduce our sales and profits.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enhancing our product listings is critical in expanding and growing our business. However, a significant portion of our perceived performance to the customer depends on third parties outside of our control, including suppliers and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complaints or negative publicity about our products, delivery times, or marketing strategies, even if not accurate, especially on blogs, social media websites and third-party market sites, could rapidly and severely diminish consumer view of our product listings and result in harm to our brands.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experience significant fluctuations in our operating results and growth rate.</w:t>
      </w:r>
    </w:p>
    <w:p>
      <w:pPr>
        <w:pStyle w:val="TextBody"/>
        <w:shd w:fill="FFFFFF" w:val="clear"/>
        <w:ind w:left="0" w:right="0" w:firstLine="22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always able to accurately forecast our growth rate. We base our expense levels and investment plans on sales estimates. A significant portion of our expenses and investments is fixed, and we are not always able to adjust our spending quickly enough if our sales are less than expected.</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may not be sustainable, and our percentage growth rates may decrease. Our revenue and operating profit growth depend on the continued growth of demand for the products offered by us, and our business is affected by general economic and business conditions. A softening of demand, whether caused by changes in customer preferences or a weakening of the U.S. economy, may result in decreased revenue or growth.</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operating results will also fluctuate for many other reasons, including due to factors described elsewhere in this section and the following:</w:t>
      </w:r>
    </w:p>
    <w:p>
      <w:pPr>
        <w:pStyle w:val="TextBody"/>
        <w:shd w:fill="FFFFFF" w:val="clear"/>
        <w:ind w:left="0" w:right="0" w:firstLine="495"/>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sales to existing customers, attract new customers, and satisfy our customers’ demands;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expand our network of vendors;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products on favorable terms, manage inventory, and fulfill orders;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competitive products, price decreases, or improvements;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usage or adoption rates of the Internet, e-commerce, electronic devices, and web services;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effectiveness, and costs of expansion and upgrades of our systems and infrastructure;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finance, and the terms of any such financing for, our current operations and future growth;</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outcomes of legal proceedings and claims, which may include significant monetary damages or injunctive relief and could have a material adverse impact on our operating results;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mix of products we sell;</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level of merchandise and vendor returns;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offer fast and free delivery and provide additional benefits to our customers;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our reputation;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invest in technology and content, fulfillment, and other expense categories;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prices of fuel and gasoline, as well as increases in the prices of other energy products and commodities like paper and packing supplies and hardware products;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operators of the networks between our customers and us, the online retailer, successfully charge fees to grant our customers unimpaired and unconstrained access to our online services;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collect amounts owed to us when they become due;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new and existing technologies, or industry trends, restrict online advertising or affect our ability to customize advertising or otherwise tailor our product and service offerings;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use of our services is affected by spyware, viruses, phishing and other spam emails, denial of service attacks, data theft, computer intrusions, outages, and similar events;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from natural or man-made disasters, extreme weather, geopolitical events and security issues (including terrorist attacks and armed hostilities), labor or trade disputes, and similar events.</w:t>
            </w:r>
          </w:p>
        </w:tc>
      </w:tr>
    </w:tbl>
    <w:p>
      <w:pPr>
        <w:pStyle w:val="TextBody"/>
        <w:shd w:fill="FFFFFF" w:val="clear"/>
        <w:ind w:left="0" w:right="0" w:firstLine="495"/>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successfully optimizing and operating our fulfillment and customer service operations.</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adequately predict customer demand or otherwise optimize and operate our fulfillment and customer service operations successfully from time to time result in excess or insufficient fulfillment or customer service capacity, increased costs, and impairment charges, any of which could materially harm our business. As we continue to add fulfillment and customer service capability or add new businesses with different requirements, our fulfillment and customer service operations become increasingly complex and operating them becomes more challenging. There can be no assurance that we will be able to operate our operations effectively.</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failure to optimize inventory in our fulfillment operations increases our net shipping cost by requiring long-zone or partial shipments. We may be unable to adequately staff our fulfillment and customer service operations. Our failure to properly handle such inventory or to accurately forecast product demand may result in us being unable to secure sufficient storage space or to optimize our fulfillment operations or cause other unexpected costs and other harm to our business and reputation.</w:t>
      </w:r>
    </w:p>
    <w:p>
      <w:pPr>
        <w:pStyle w:val="TextBody"/>
        <w:shd w:fill="FFFFFF" w:val="clear"/>
        <w:ind w:left="0" w:right="0" w:firstLine="495"/>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shipping companies to deliver inventory to us and completed orders to our customers. The inability to negotiate acceptable terms with these companies or performance problems or other difficulties experienced by these companies or by our own transportation systems could negatively impact our operating results and customer experience. In addition, our ability to receive inbound inventory efficiently and ship completed orders to customers also may be negatively affected by natural or man-made disasters, extreme weather, geopolitical events and security issues, labor or trade disputes, and similar events.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variability in our retail business places increased strain on our operations.</w:t>
      </w:r>
    </w:p>
    <w:p>
      <w:pPr>
        <w:pStyle w:val="TextBody"/>
        <w:shd w:fill="FFFFFF" w:val="clear"/>
        <w:ind w:left="0" w:right="0" w:firstLine="22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retail products can fluctuate significantly for many reasons, including as a result of seasonality, promotions, product launches, or unforeseeable events, such as in response to natural or man-made disasters, extreme weather, or geopolitical events. For example, we expect a disproportionate amount of our retail sales to occur during our fourth quarter. Our failure to stock or restock popular products in sufficient amounts such that we fail to meet customer demand could significantly affect our revenue and our future growth. When we overstock products, we may be required to take significant inventory markdowns or write-offs and incur commitment costs, which could materially reduce profitability. We regularly experience increases in our net shipping cost due to FBA fee increases, split-shipments, and additional long-zone shipments necessary to ensure timely delivery for the holiday season. If too many customers access the websites on which we engage in online retailing within a short period of time due to increased demand, we may experience system interruptions that make the websites unavailable or prevent us from efficiently fulfilling orders, which may reduce the volume of goods we offer or sell and the attractiveness of our products. In addition, we may be unable to adequately staff for fulfillment of orders and customer service during these peak periods and delivery and other fulfillment companies and customer service co-sourcers may be unable to meet the seasonal demand.</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holiday sales, as of December 31 of each year, our cash, cash equivalents, and marketable securities balances typically reach their highest level (other than as a result of cash flows provided by or used in investing and financing activities). This operating cycle results in a corresponding increase in accounts payable as of December 31. Our accounts payable balance generally declines during the first three months of the year, resulting in a corresponding decline in our cash, cash equivalents, and marketable securities balances.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Continued increases in Amazon Marketplace fulfillment and storage fees could have an adverse impact on our profit margin and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Amazon’s FBA platform to store their products at the Amazon fulfillment center and to pack and distribute these products to customers. If Amazon continues to increase its FBA fees, our profit margin could be adversely affected.</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change in one or more of the Company’s vendors’ policies or the Company’s relationship with those vendors could adversely affect the Company’s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on its vendors to supply merchandise in a timely and efficient manner. If a vendor fails to deliver on its commitments, whether due to financial difficulties or other reasons, the Company could experience merchandise shortages that could lead to lost sales.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not experienced difficulty in obtaining satisfactory sources of supply and management believes that it will continue to have access to adequate sources of supply. No individual vendor exceeded 15% of purchases in the year ended December 31, 2022.</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is dependent upon maintaining our relationship with Amazon and failure to do so, or any restrictions on our ability to offer products on the Amazon Marketplace, could have an adverse impact on our business, financial condition and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practically all of our revenue as a third-party seller on Amazon Marketplace. In 2022 and 2021, 100% and 100%, respectively, of our net revenue was through or with the Amazon sales platform. Therefore, we depend entirely on our relationship with Amazon for growth. In particular, we depend on our ability to offer products on the Amazon Marketplace. We also depend on Amazon for the timely delivery of products to customers. Any adverse change in our relationship with Amazon, including restrictions on the ability to offer products or termination of the relationship, could adversely affect our continued growth and financial condition and results of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 is dependent reimbursements from Amazon and any change in Amazon’s policy regarding reimbursement could adversely impact our ability to generate profits</w:t>
      </w:r>
    </w:p>
    <w:p>
      <w:pPr>
        <w:pStyle w:val="TextBody"/>
        <w:shd w:fill="FFFFFF" w:val="clear"/>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reimburses us for any lost and damaged merchandise. These reimbursements form a substantial portion of our profits. Any change in Amazon policy regarding these reimbursements could impact our profit adversely. Additionally, we are dependent on Amazon’s ability to track and process these reimbursements. Any deficiencies in Amazon’s ability to process these reimbursements could impact our profits.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key personnel or the inability to attract, train and retain qualified employees could adversely affect the Company’s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future prospects depend, to a significant extent, on the services of its executive officers. Our future success will also depend on our ability to attract and retain qualified key personnel. The loss of the services of certain of the Company’s executive officers and other key management personnel could adversely affect the Company’s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executive officers, the Company’s business is dependent on our ability to attract, train and retain qualified team members. Our ability to meet our labor needs while controlling our costs is subject to external factors such as unemployment levels, health care costs and changing demographics. If we are unable to attract and retain adequate numbers of qualified team members, our operations and support functions could suffer. Those factors, together with increased wage and benefit costs, could adversely affect our results of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in meeting our labor needs to effectively operate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dependent upon our labor workforce. Our compensation packages are designed to provide benefits commensurate with our level of expected service. However, we face the challenge of filling many positions at wage scales that are appropriate to the industry and competitive factors. We also face other risks in meeting our labor needs, including competition for qualified personnel, overall unemployment levels, and increased costs associated with complying with regulations relating to COVID-19. Changes in any of these factors, including a shortage of available workforce, could interfere with our ability to adequately service our customers and could result in increasing labor costs.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increased labor costs, including costs related to an increase in minimum wage and health care.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one of the primary components in the cost of operating our business. Increased labor costs, whether due to competition, unionization, increased minimum wage, state unemployment rates, health care, or other employee benefits costs may adversely impact our operating expenses. Additionally, there is no assurance that future health care legislation will not adversely impact our results or operations.</w:t>
      </w:r>
    </w:p>
    <w:p>
      <w:pPr>
        <w:pStyle w:val="TextBody"/>
        <w:shd w:fill="FFFFFF" w:val="clear"/>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Breach of data security could harm our business and standing with our customers.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protection of our supplier (vendor), employee and business data is critical to us. Our business, like that of most companies, involves confidential information about our employees, our suppliers and our Company. We rely on commercially available systems, software, tools and monitoring to provide security for processing, transmission and storage of all such data, including confidential information. Despite the security measures we have in place, our facilities and systems, and those of our third-party service providers, may be vulnerable to security breaches, acts of vandalism, computer viruses, misplaced or lost data, programming or human errors, or other similar events. Unauthorized parties may attempt to gain access to our systems or information through fraud or other means, including deceiving our employees or third-party service providers. The methods used to obtain unauthorized access, disable or degrade service, or sabotage systems are also constantly changing and evolving, and may be difficult to anticipate or detect. We have implemented and regularly review and update our control systems, processes and procedures to protect against unauthorized access to or use of secured data and to prevent data loss. However, the ever-evolving threats mean we must continually evaluate and adapt our systems and processes, and there is no guarantee that they will be adequate to safeguard against all data security breaches or misuses of data. Any security breach involving the misappropriation, loss or other unauthorized disclosure of customer payment card or personal information or employee personal or confidential information, whether by us or our vendors, could damage our reputation, expose us to risk of litigation and liability, disrupt our operations, harm our business and have an adverse impact upon our net sales and profitability. As the regulatory environment related to information security, data collection and use, and privacy becomes increasingly rigorous, with new and changing requirements applicable to our business, compliance with those requirements could also result in additional costs. Further, if we are unable to comply with the security standards established by banks and the credit card industry, we may be subject to fines, restrictions and expulsion from card acceptance programs, which could adversely affect our retail operations.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system interruption and lack of redundancy</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occasional system interruptions and delays that make the websites on which we engage in online retailing unavailable or slow to respond and prevent us from efficiently accepting or fulfilling orders or providing services to third parties, which may reduce our net sales and the attractiveness of our products and services. Steps we take to add software and hardware, upgrade our systems and network infrastructure, and improve the stability and efficiency of our systems may not be sufficient to avoid system interruptions or delays that could adversely affect our operating results.</w:t>
      </w:r>
    </w:p>
    <w:p>
      <w:pPr>
        <w:pStyle w:val="TextBody"/>
        <w:shd w:fill="FFFFFF" w:val="clear"/>
        <w:ind w:left="0" w:right="0" w:firstLine="49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computer and communications systems and operations in the past have been, or in the future could be, damaged or interrupted due to events such as natural or man-made disasters, extreme weather, geopolitical events and security issues (including terrorist attacks and armed hostilities), computer viruses, physical or electronic break-ins, and similar events or disruptions. Any of these events could cause system interruption, delays, and loss of critical data, and could prevent us from accepting and fulfilling customer orders and providing services, which could make our product offerings less attractive and subject us to liability. Our systems are not fully redundant and our disaster recovery planning may not be sufficient. In addition, our insurance may not provide sufficient coverage to compensate for related losses. Any of these events could damage our reputation and be expensive to remedy.</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hardware and software systems are vulnerable to damage, theft or intrusion that could harm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our computer hardware or software systems that causes an interruption in our operations or a decrease in inventory tracking could result in reduced net sales and profitability. Additionally, if any data intrusion, security breach, misappropriation or theft were to occur, we could incur significant costs in responding to such event, including responding to any resulting claims, litigation or investigations, which could harm our operating results.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inability or failure to protect our intellectual property rights, or any claimed infringement by us of third-party intellectual rights, could have a negative impact on our operating results.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trade secrets and other intellectual property, including proprietary software, are valuable assets that are critical to our success. The unauthorized reproduction or other misappropriation of our intellectual property could cause a decline in our revenue. In addition, any infringement or other intellectual property claim made against us could be time-consuming to address, result in costly litigation, cause product delays, require us to enter into royalty or licensing agreements or result in our loss of ownership or use of the intellectual property.</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business is influenced by general economic conditions.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is subject to general economic conditions and their impact on levels of discretionary consumer spending. General economic conditions impacting discretionary consumer spending include, among others, wages and employment, consumer debt, reductions in net worth, residential real estate and mortgage markets, taxation, fuel and energy prices, interest rates, consumer confidence and other macroeconomic factors.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purchases of discretionary items generally decline during recessionary periods and other periods where disposable income is adversely affected. A downturn in the economy affects retailers disproportionately, as consumers may prioritize reductions in discretionary spending, which could have a direct impact on purchases of our products and services and adversely impact our results of operations. In addition, reduced consumer spending may drive us and our competitors to offer additional products at promotional prices, which would have a negative impact on gross profit.</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 of global capital and credit markets may have a material adverse effect on the Company’s liquidity and capital resources.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Distress in the financial markets has in the past and can in the future result in extreme volatility in security prices, diminished liquidity and credit availability. There can be no assurance that our liquidity will not be affected by changes in the financial markets and the global economy or that our capital resources will at all times be sufficient to satisfy our liquidity needs.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dependent upon access to capital for its liquidity needs.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have sufficient sources of liquidity to fund its working capital requirements and indebtedness. The future availability of financing will depend on a variety of factors, such as economic and market conditions, the availability of credit and the Company’s credit rating, as well as the Company’s reputation with potential lenders. These factors could materially adversely affect the Company’s ability to fund its working capital requirements, costs of borrowing, and the Company’s financial position and results of operations would be adversely impacted.</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complete a future significant strategic transaction that may not achieve intended results or could increase the number of our outstanding shares or amount of outstanding debt or result in a change of control.</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evaluate and may in the future enter into strategic transactions. Any such transaction could happen at any time following the closing of the merger, could be material to our business and could take any number of forms, including, for example, an acquisition, merger or a sale of all or substantially all of our assets.</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potential transactions and integrating completed ones may divert the attention of our management from ordinary operating matters. The success of these potential transactions will depend, in part, on our ability to realize the anticipated growth opportunities and cost synergies through the successful integration of the businesses we acquire with our existing business. Even if we are successful in integrating the acquired businesses, we cannot assure you that these integrations will result in the realization of the full benefit of any anticipated growth opportunities or cost synergies or that these benefits will be realized within the expected time frames. In addition, acquired businesses may have unanticipated liabilities or contingencies.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an acquisition, investment or other strategic transaction, we may require additional financing that could result in an increase in the number of our outstanding shares or the aggregate principal amount of our debt. A strategic transaction may result in a change in control of our company or otherwise materially and adversely affect our business.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we have experienced declines, and we may continue to experience fluctuation in our level of sales and results from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factors has historically affected, and will continue to affect, our sales results and profit margins. These factors include general economic conditions; competition; actions taken by our competitors; consumer trends and preferences; access to third party marketplaces; and new product introductions and changes in our product mix.</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achieve positive levels of sales and earnings growth, and any decline in our future growth or performance could have a material adverse effect on our business and results of operations.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the Company to satisfy its liabilities and to continue as a going concern will continue to be dependent on the implementation of several items, the success of which is not certain.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source of liquidity is available cash and cash equivalents, which is limited. Therefore, the ability of the Company to meet its liabilities and to continue as a going concern is dependent on, among other things, improved profitability, the continued implementation of its business strategy, the availability of future funding, implementation of one or more corporate initiatives to reduce costs at the parent company level and other strategic alternatives, including selling all or part of the remaining business or assets of the Company, and overcoming the impact of the COVID-19 pandemic.</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successful in further implementing our business strategy or that the strategy, including the completed initiatives, will be successful in sustaining acceptable levels of sales growth and profitability.</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Parties with whom the Company does business may be subject to insolvency risks or may otherwise become unable or unwilling to perform their obligations to the Company.</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contracts, transactions and business relationships with various third parties, including partners, vendors, suppliers, service providers and lenders, pursuant to which such third parties have performance, payment and other obligations to the Company. In some cases, the Company depends upon such third parties to provide essential products, services or other benefits, including with respect to merchandise, advertising, software development and support, logistics, other agreements for goods and services in order to operate the Company’s business in the ordinary course, extensions of credit, credit card accounts and related receivables, and other vital matters. Economic, industry and market conditions, including as a result of the COVID-19 pandemic, could result in increased risks to the Company associated with the potential financial distress or insolvency of such third parties. The Company is not currently able to accurately determine the extent and scope of the impact of the COVID-19 pandemic on such third parties. If any of these third parties were to become subject to bankruptcy, receivership or similar proceedings, the rights and benefits of the Company in relation to its contracts, transactions and business relationships with such third parties could be terminated, modified in a manner adverse to the Company, or otherwise impaired. The Company cannot make any assurances that it would be able to arrange for alternate or replacement contracts, transactions or business relationships on terms as favorable as the Company’s existing contracts, transactions or business relationships, if at all. Any inability on the part of the Company to do so could negatively affect the Company’s cash flows, financial condition and results of operations.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legal and regulatory requirements could adversely affect the Company’s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subject to a wide array of laws and regulations. Significant legislative changes that impact our relationship with our workforce (none of which is represented by unions) could increase our expenses and adversely affect our operations. Examples of possible legislative changes impacting our relationship with our workforce include changes to an employer’s obligation to recognize collective bargaining units, the process by which collective bargaining units are negotiated or imposed, minimum wage requirements, health care mandates, and changes in overtime regulations.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policies, procedures and internal controls are designed to comply with all applicable laws and regulations, including those imposed by the Securities and Exchange Commission (the “SEC”) and Nasdaq, as well as applicable employment laws. Additional legal and regulatory requirements increase the complexity of the regulatory environment in which we operate and the related cost of compliance. Failure to comply with such laws and regulations may result in damage to our reputation, financial condition and market price of our stock.</w:t>
      </w:r>
    </w:p>
    <w:p>
      <w:pPr>
        <w:pStyle w:val="TextBody"/>
        <w:shd w:fill="FFFFFF" w:val="clear"/>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incorporation and bylaws provides that state or federal court located within the state of Delaware will be the sole and exclusive forum for substantially all disputes between us and our stockholders, which could limit its stockholders’ ability to obtain a favorable judicial forum for disputes with us or our directors, officers or other employees.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of our certificate of incorporation and Section 7.4 of our bylaws provides that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in the county in which the principal office of the corporation in the State of Delaware is established, in all cases subject to the court’s having personal jurisdiction over the indispensable parties named as defendants. Notwithstanding the foregoing, the exclusive forum provision will not apply to suits brought to enforce any liability or duty created by the Securities Exchange of 1934, as amended (the “Exchange Act”), the Securities Act of 1933, as amended (the “Securities Act”), or any claim for which the federal courts have exclusive or concurrent jurisdiction.” Therefore, the exclusive forum provision in our certificate of incorporation and our bylaws will not relieve us of our duty to comply with the federal securities laws and the rules and regulations thereunder, and stockholders will not be deemed to have waived our compliance with these laws, rules and regulations.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forum provision may limit a stockholder’s ability to bring a claim in a judicial forum of its choosing for disputes with us or our directors, officers or other employees, which may discourage lawsuits against us or our directors, officers or other employees. In addition, stockholders who do bring a claim in the state or federal court in the State of Delaware could face additional litigation costs in pursuing any such claim, particularly if they do not reside in or near Delaware. The state or federal court of the State of Delaware may also reach different judgments or results than would other courts, including courts where a stockholder would otherwise choose to bring the action, and such judgments or results may be more favorable to us than to our stockholders. However, the enforceability of similar exclusive forum provisions in other companies’ certificates of incorporation have been challenged in legal proceedings, and it is possible that a court could find this type of provision to be inapplicable to, or unenforceable in respect of, one or more of the specified types of actions or proceedings. If a court were to find the exclusive forum provision contained in our certificate of incorporation and our bylaws to be inapplicable or unenforceable in an action, we might incur additional costs associated with resolving such action in other jurisdictions.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highlight w:val="white"/>
        </w:rPr>
      </w:pPr>
      <w:r>
        <w:rPr>
          <w:rFonts w:ascii="Times New Roman;Times;Serif" w:hAnsi="Times New Roman;Times;Serif"/>
          <w:b/>
          <w:i/>
          <w:caps w:val="false"/>
          <w:smallCaps w:val="false"/>
          <w:sz w:val="20"/>
          <w:highlight w:val="white"/>
        </w:rPr>
        <w:t>By purchasing our common stock, you are bound by the fee-shifting provision contained in our bylaws, which may discourage you to pursue actions against us and could discourage stockholder lawsuits that might otherwise benefit the Company and its stockholders.</w:t>
      </w:r>
    </w:p>
    <w:p>
      <w:pPr>
        <w:pStyle w:val="TextBody"/>
        <w:shd w:fill="FFFFFF" w:val="clear"/>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of our bylaws provides that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109(b) of the DGCL.”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Our bylaws provide that for this section, the term “attorneys’ fees” or “attorneys’ fees and costs” means the fees and expenses of counsel to the Company and any other parties asserting a claim subject to Section 7.4 of the bylaws, which may include printing, photocopying,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We adopted the fee-shifting provision to eliminate or decrease nuisance and frivolous litigation. We intend to apply the fee-shifting provision broadly to all actions except for </w:t>
      </w:r>
      <w:r>
        <w:rPr>
          <w:rFonts w:ascii="Times New Roman;Times;Serif" w:hAnsi="Times New Roman;Times;Serif"/>
          <w:b w:val="false"/>
          <w:i w:val="false"/>
          <w:caps w:val="false"/>
          <w:smallCaps w:val="false"/>
          <w:sz w:val="20"/>
        </w:rPr>
        <w:t>claims brought under the Exchange Act and the Securities Act</w:t>
      </w:r>
      <w:r>
        <w:rPr>
          <w:rFonts w:ascii="Times New Roman;Times;Serif" w:hAnsi="Times New Roman;Times;Serif"/>
          <w:b w:val="false"/>
          <w:i w:val="false"/>
          <w:caps w:val="false"/>
          <w:smallCaps w:val="false"/>
          <w:sz w:val="20"/>
          <w:highlight w:val="white"/>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There is no set level of recovery required to be met by a plaintiff to avoid payment under this provision. Instead, whoever is the prevailing party is entitled to recover the reasonable attorneys’ fees, costs and expenses incurred in connection with the prosecution or defense of such action. Any party who brings an action, and the party against whom such action is brought under Section 7.4 of our bylaws, which could include, but is not limited to former and current stockholders, Company directors, officers, affiliates, legal counsel, expert witnesses and other parties, are subject to this provision. Additionally, any party who brings an action, and the party against whom such action is brought under Section 7.4 of our bylaws, which could include, but is not limited to former and current stockholders, Company directors, officers, affiliates, legal counsel, expert witnesses and other parties, would be able to recover fees under this provision.</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the event you initiate or assert a claim against us, in accordance with the dispute resolution provisions contained in our Bylaws, and you do not, in a judgment prevail, you will be obligated to reimburse us for all reasonable costs and expenses incurred in connection with such claim, including, but not limited to, reasonable attorney’s fees and expenses and costs of appeal, if any. Additionally, this provision in Section 7.4 of our bylaws could discourage stockholder lawsuits that might otherwise benefit the Company and its stockholders.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 SHIFTING PROVISION CONTAINED IN THE BYLAWS IS NOT INTENDED TO BE DEEMED A WAIVER BY ANY HOLDER OF COMMON STOCK OF THE COMPANY’S COMPLIANCE WITH THE U.S. FEDERAL SECURITIES LAWS AND THE RULES AND REGULATIONS PROMULGATED THEREUNDER. THE FEE SHIFTING PROVISION CONTAINED IN THE BYLAWS DO NOT APPLY TO CLAIMS BROUGHT UNDER THE EXCHANGE ACT AND SECURITIES ACT.</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may adversely affect our business, financial condition and results of operations.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the risk of litigation by employees, consumers, partners, suppliers, competitors, stockholders, government agencies or others through private actions, class actions, administrative proceedings, regulatory actions or other litigation. The outcome of litigation, particularly class action lawsuits and regulatory actions, is difficult to assess or quantify. We may incur losses relating to these claims, and in addition, these proceedings could cause us to incur costs and may require us to devote resources to defend against these claims that could adversely affect our results of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effects of natural disasters, terrorism, acts of war, and public health issues may adversely affect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pandemic, epidemic or outbreak of an infectious disease, such as COVID-19, may materially and adversely affect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be materially adversely impacted if a public health outbreak, including the recent COVID-19 pandemic, interferes with our ability, or the ability of our employees, contractors, suppliers, and other business partners to perform our and their respective responsibilities and obligations relative to the conduct of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has adversely affected and may continue to adversely affect the economies and financial markets worldwide, resulting in an economic downturn that could impact our business, financial condition and results of operations. As a result, our ability to fund through public or private equity offerings, debt financings, and through other means at acceptable terms, if at all, may be disrupted, in the event our financing needs for the foreseeable future are not able to be met by our balances of cash, cash equivalents and cash generated from operations.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continuation of the COVID-19 pandemic and various governmental responses in the United States has adversely affected and may continue to adversely affect our business operations, including our ability to carry on business development activities, restrictions in business-related travel, delays or disruptions in our on-going projects, and unavailability of the employees of the Company or third parties with whom we conduct business, due to illness or quarantines, among others. Our business was negatively impacted by disruptions in our supply chain, which limited our ability to source merchandise, and limits on products fulfillment placed by Amazon. For example, we may be unable to launch new products, replenish inventory for existing products, ship into or receive inventory in our third-party warehouses in each case on a timely basis or at all. The extent to which COVID-19 could impact our business will depend on future developments, which are highly uncertain and cannot be predicted with confidence, and will depend on many factors, including the duration of the outbreak, the effect of travel restrictions and social distancing efforts in the United States and other countries, the scope and length of business closures or business disruptions, and the actions taken by governments to contain and treat the disease. As such, we cannot presently predict the scope and extent of any potential business shutdowns or disruptions. Possible effects may include, but are not limited to, disruption to our customers and revenue, absenteeism in our labor workforce, unavailability of products and supplies used in our operations, shutdowns that may be mandated or requested by governmental authorities, and a decline in the value of our assets, including various long-lived assets.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key senior management personnel or the failure to hire and retain highly skilled and other key personnel could negatively affect our business.</w:t>
      </w:r>
    </w:p>
    <w:p>
      <w:pPr>
        <w:pStyle w:val="TextBody"/>
        <w:shd w:fill="FFFFFF" w:val="clear"/>
        <w:ind w:left="0" w:right="0" w:firstLine="225"/>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senior management and other key personnel, particularly Sam Lai, our Chairman of the Board, Chief Executive Officer and Interim Chief Financial Officer. We do not have “key person” life insurance policies. We also rely on other highly skilled personnel. Competition for qualified personnel in the technology industry has historically been intense, particularly for software engineers, computer scientists, and other technical staff. The loss of any of our executive officers or other key employees or the inability to hire, train, retain, and manage qualified personnel, could harm our business.</w:t>
      </w:r>
    </w:p>
    <w:p>
      <w:pPr>
        <w:pStyle w:val="TextBody"/>
        <w:shd w:fill="FFFFFF" w:val="clear"/>
        <w:ind w:left="0" w:right="0" w:firstLine="495"/>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Sam Lai, our Chairman of the Board, Chief Executive Officer and Interim Chief Financial Officer, and Maggie Yu, our Senior Vice President, who are husband and wife, to control our business may limit or eliminate minority stockholders’ ability to influence corporate affairs.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Mr. Sam Lai, our Chairman of the Board, Chief Executive Officer, and Interim Chief Financial Officer, and Maggie Yu, our Senior Vice President, who are husband and wife, beneficially owned an aggregate of 33,311,576 shares of our common stock, which represents approximately 95% of the voting power of our outstanding common stock. </w:t>
      </w:r>
      <w:r>
        <w:rPr>
          <w:rFonts w:ascii="Times New Roman;Times;Serif" w:hAnsi="Times New Roman;Times;Serif"/>
          <w:b w:val="false"/>
          <w:i w:val="false"/>
          <w:caps w:val="false"/>
          <w:smallCaps w:val="false"/>
          <w:sz w:val="20"/>
          <w:highlight w:val="white"/>
        </w:rPr>
        <w:t>Because of this voting control through the shares of the common stock they beneficially own, they are able to significantly influence membership of our Board of Directors, as well as all other matters requiring stockholder approval. The interests of our Chief Executive Officer and Senior Vice President may differ from the interests of other stockholders with respect to the issuance of shares, business transactions with or sales to other companies, selection of other officers and directors and other business decisions. The minority stockholders will have no way of overriding decisions made by our Chief Executive Officer and our Senior Vice President.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we are not subject to all of Nasdaq’s corporate governance rules.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“controlled company” exception to the Nasdaq rules provides that a company of which more than 50% of the voting power is held by an individual, group or another company, a “controlled company,” need not comply with certain requirements of the Nasdaq corporate governance rules. As of March 31, 2023, Mr. Sam Lai, our Chairman of the Board, Chief Executive Officer, and Interim Chief Financial Officer, and Maggie Yu, our Senior Vice President, who are husband and wife, beneficially owned an aggregate of 33,311,576 shares of our common stock, which represents approximately 95% of the voting power of our outstanding common stock. We are </w:t>
      </w:r>
      <w:r>
        <w:rPr>
          <w:rFonts w:ascii="Times New Roman;Times;Serif" w:hAnsi="Times New Roman;Times;Serif"/>
          <w:b w:val="false"/>
          <w:i w:val="false"/>
          <w:caps w:val="false"/>
          <w:smallCaps w:val="false"/>
          <w:sz w:val="20"/>
          <w:highlight w:val="white"/>
        </w:rPr>
        <w:t>a “controlled company” within the meaning of Nasdaq’s corporate governance rules. Controlled companies are exempt from Nasdaq’s corporate governance rules requiring that listed companies have (i) a majority of the board of directors consist of “independent” directors under the Nasdaq listing standards, (ii) a nominating/corporate governance committee composed entirely of independent directors and a written nominating/corporate governance committee charter meeting Nasdaq’s requirements, and (iii) a compensation committee composed entirely of independent directors and a written compensation committee charter meeting the Nasdaq requirements. We currently utilize and presently intend to continue to utilize these exemptions. As a result, we may not have a majority of independent directors, our nomination and corporate governance committee and compensation committee may not consist entirely of independent directors and such committees may not be subject to annual performance evaluations. Accordingly, you may not have the same protections afforded to stockholders of companies that are subject to all of the corporate governance requirements of Nasdaq. See “Management—Board Committees and Director Independence—Controlled Company and Director Independence”.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 is evolving and unfavorable changes could harm our business.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general business regulations and laws, as well as regulations and laws specifically governing the Internet and e-commerce. These regulations and laws cover taxation, privacy, data protection, data security, network security, consumer protection, pricing, content, copyrights, distribution, transportation, mobile communications, electronic device certification, electronic waste, energy consumption, environmental regulation, electronic contracts and other communications, competition, employment, trade and protectionist measures, web services, the provision of online payment services, registration, licensing, and information reporting requirements, unencumbered Internet access to our services or access to our facilities, the design and operation of websites, health, safety, and sanitation standards, the characteristics, legality, and quality of products and services, product labeling, the commercial operation of unmanned aircraft systems, and other matters. It is not clear how existing laws governing issues such as property ownership, libel, privacy, data protection, data security, network security, and consumer protection apply to aspects of our operations such as the Internet, e-commerce, digital content, web services, electronic devices, advertising, and artificial intelligence technologies and services. A large number of jurisdictions regulate our operations, and the extent, nature, and scope of such regulations is evolving and expanding as the scope of our businesses expand.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diminish the demand for, or availability of, our products, increase our cost of doing business, require us to change our business practices in a manner materially adverse to our business, damage our reputation, impede our growth, or otherwise have a material effect on our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product liability claims when people or property are harmed by the products we sell</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products we sell expose us to product liability claims relating to personal injury, illness, death, or environmental or property damage, and can require product recalls or other actions. Although we maintain liability insurance, we cannot be certain that our coverage will be adequate for liabilities actually incurred or that insurance will continue to be available to us on economically reasonable terms, or at all. Some of our agreements with our vendors do not indemnify us from product liability.</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face prior period sales tax and corporate tax liabilities, penalties and collection obligations</w:t>
      </w:r>
    </w:p>
    <w:p>
      <w:pPr>
        <w:pStyle w:val="TextBody"/>
        <w:shd w:fill="FFFFFF" w:val="clear"/>
        <w:ind w:left="0" w:right="0" w:firstLine="225"/>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an assessment of sales tax payable including any related interest and penalties and accrues these estimates on the financial statements. Pursuant to the Wayfair decision, each state enforced sales tax collection at different dates. We collect and remit sales tax in accordance with the state regulations. We estimate that as of December 31, 2022, we owe $288,466 in sales taxes along with penalties and interest. The Company has made significant progress filing historical sales tax returns and target to complete filings for all jurisdictions in 2023.</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taxes and tax collection obligations in the U.S. (federal and state).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An increasing number of jurisdictions are considering or have adopted laws or administrative practices that impose new tax measures, including revenue-based taxes, targeting online commerce and the remote selling of goods and services. These include new obligations to collect sales, consumption, value added, or other taxes on online marketplaces and remote sellers, or other requirements that may result in liability for third party obligations. Our results of operations and cash flows could be adversely effected by additional taxes of this nature imposed on us prospectively or retroactively or additional taxes or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build systems and adopt processes to properly comply with new reporting or collection obligations by the effective date.</w:t>
      </w:r>
    </w:p>
    <w:p>
      <w:pPr>
        <w:pStyle w:val="TextBody"/>
        <w:shd w:fill="FFFFFF" w:val="clear"/>
        <w:ind w:left="0" w:right="0" w:firstLine="495"/>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expense and liabilities are also affected by other factors, such as changes in our business operations, acquisitions, investments, entry into new businesses and geographies, intercompany transactions, losses incurred in jurisdictions for which we are not able to realize related tax benefits, the applicability of special or extraterritorial tax regimes, changes in foreign currency exchange rates, changes in our stock price, changes to our forecasts of income and loss and the mix of jurisdictions to which they relate, and changes in our tax assets and liabilities and their valuation. In the ordinary course of our business, there are many transactions and calculations for which the ultimate tax determination is uncertain. Significant judgment is required in evaluating and estimating our tax expense, assets, and liabilities.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tax controversies in various jurisdictions that can result in tax assessments against us. Developments in an audit, investigation, or other tax controversy can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accounting and inventory tracking systems could impair our ability to file accurate and timely financial statements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capabilities of our inventory systems to track prior period costs at an item level have not been operationalized for the purposes of calculating inventory value. This could hinder our ability to accurately track inventory value and could impact our ability to provide accurate financials in a timely manner. The Company uses Quickbooks Online as both its accounting system and inventory tracking system. The Company currently does not conduct the period end review and accounting month end close using this accounting system. These procedures are done outside of the accounting system using spreadsheets. The manual nature of these procedures could lead to delay as well as errors in our financial reporting. These errors could include incorrect unit cost data for FIFO inventory valuation.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values inventory by using estimates of the number of units and cost per unit. Our ability to accurately estimate unit costs in a timely manner is dependent on our inventory tracking systems. The Company plans on operationalizing an inventory tracking system in the next nine months. The Company plans to start conducting the period end review and accounting month end close using the accounting system over the next nine months.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to Ownership of Our Common Stock and Lack of Liquidity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Nasdaq’s continued listing standards.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maintain our Nasdaq listing for any period of time by perpetually satisfying Nasdaq’s continued listing requirements. Our failure to continue to meet these requirements may result in our common stock being delisted from Nasdaq.</w:t>
      </w:r>
    </w:p>
    <w:p>
      <w:pPr>
        <w:pStyle w:val="TextBody"/>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you could lose all or part of your investment.</w:t>
      </w:r>
    </w:p>
    <w:p>
      <w:pPr>
        <w:pStyle w:val="TextBody"/>
        <w:shd w:fill="FFFFFF" w:val="clear"/>
        <w:jc w:val="both"/>
        <w:rPr>
          <w:caps w:val="false"/>
          <w:smallCaps w:val="false"/>
        </w:rPr>
      </w:pPr>
      <w:r>
        <w:rPr>
          <w:caps w:val="false"/>
          <w:smallCaps w:val="false"/>
        </w:rPr>
        <w:t> </w:t>
      </w:r>
    </w:p>
    <w:p>
      <w:pPr>
        <w:pStyle w:val="TextBody"/>
        <w:shd w:fill="FFFFFF" w:val="clear"/>
        <w:ind w:left="0" w:right="0" w:firstLine="6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prices at which our common stock will trade in the future. The market price of our common stock may fluctuate substantially and will depend on a number of factors, including those described in this “Risk Factors” section, many of which are beyond our control and may not be related to our operating performance. In addition, the limited public float of our common stock will tend to increase the volatility of the trading price of our common stock. These fluctuations could cause you to lose all or part of your investment in our common stock, since you might not be able to sell your shares. Factors that could cause fluctuations in the market price of our common stock include, but are not limited to, the following:</w:t>
      </w:r>
    </w:p>
    <w:p>
      <w:pPr>
        <w:pStyle w:val="TextBody"/>
        <w:shd w:fill="FFFFFF" w:val="clear"/>
        <w:ind w:left="1079" w:right="0" w:hanging="360"/>
        <w:jc w:val="both"/>
        <w:rPr>
          <w:caps w:val="false"/>
          <w:smallCaps w:val="false"/>
        </w:rPr>
      </w:pPr>
      <w:r>
        <w:rPr>
          <w:caps w:val="false"/>
          <w:smallCaps w:val="false"/>
        </w:rPr>
        <w:t> </w:t>
      </w:r>
    </w:p>
    <w:tbl>
      <w:tblPr>
        <w:tblW w:w="6145" w:type="dxa"/>
        <w:jc w:val="left"/>
        <w:tblInd w:w="0" w:type="dxa"/>
        <w:tblCellMar>
          <w:top w:w="0" w:type="dxa"/>
          <w:left w:w="0" w:type="dxa"/>
          <w:bottom w:w="0" w:type="dxa"/>
          <w:right w:w="0" w:type="dxa"/>
        </w:tblCellMar>
      </w:tblPr>
      <w:tblGrid>
        <w:gridCol w:w="75"/>
        <w:gridCol w:w="170"/>
        <w:gridCol w:w="590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or fluctuations in our results of operations;</w:t>
            </w:r>
          </w:p>
        </w:tc>
      </w:tr>
    </w:tbl>
    <w:p>
      <w:pPr>
        <w:pStyle w:val="TextBody"/>
        <w:jc w:val="center"/>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we may provide to the public, any changes in these projections, or our failure to meet these projections;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or new or terminated significant contracts, commercial relationships, or capital commitments;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financial analyst or investor reaction to our press releases, other public announcements, and filings with the SEC;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rumors and market speculation involving us or other companies in our industry;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overall stock market from time to time;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performance and stock market valuations of other technology companies generally, or those in our industry in particular;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of market stand-off or contractual lock-up agreements and sales of shares of our common stock by us or our stockholders;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industry or financial analysts to maintain coverage of us, changes in financial estimates by any analysts who follow our company, or our failure to meet these estimates or the expectations of investors;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or our competitors’ businesses, or the competitive landscape generally;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us, our industry, or both, or investigations by regulators into our operations or those of our competitors;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intellectual property rights, our products, or third-party proprietary rights;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or completed acquisitions of businesses or technologies by us or our competitors;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or regulations or new interpretations of existing laws or regulations applicable to our business;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management or our board of directors, particularly with respect to Mr. Lai;</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slow or negative growth of our markets;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incidents of terrorism, or responses to these events.</w:t>
            </w:r>
          </w:p>
        </w:tc>
      </w:tr>
    </w:tbl>
    <w:p>
      <w:pPr>
        <w:pStyle w:val="TextBody"/>
        <w:shd w:fill="FFFFFF" w:val="clear"/>
        <w:ind w:left="1079" w:right="0" w:hanging="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has experienced extreme price and volume fluctuations that have often been unrelated or disproportionate to the operating performance of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materially adversely affect our business, financial condition, results of operations, and prospects.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be subject to the “penny stock” rules in the future. It may be more difficult to resell securities classified as “penny stock.”</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subject to “penny stock” rules (generally defined as non-exchange traded stock with a per-share price below $5.00) in the future. While our common stock is not currently considered “penny stock” since it is listed on the Nasdaq, if we are unable to maintain that listing and our common stock is no longer listed on the Nasdaq, unless we maintain a per-share price above $5.00, our common stock will become “penny stock.” These rules impose additional sales practice requirements on broker-dealers that recommend the purchase or sale of penny stocks to persons other than those who qualify as “established customers” or “accredited investors.” For example, broker-dealers must determine the appropriateness for non-qualifying persons of investments in penny stocks. Broker-dealers must also provide, prior to a transaction in a penny stock not otherwise exempt from the rules, a standardized risk disclosure document that provides information about penny stocks and the risks in the penny stock market. The broker-dealer also must provide the customer with current bid and offer quotations for the penny stock, disclose the compensation of the broker-dealer and its salesperson in the transaction, furnish monthly account statements showing the market value of each penny stock held in the customer’s account, provide a special written determination that the penny stock is a suitable investment for the purchaser, and receive the purchaser’s written agreement to the transaction.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remedies available to an investor in “penny stocks” may include the following: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 “penny stock” is sold to the investor in violation of the requirements listed above, or other federal or states securities laws, the investor may be able to cancel the purchase and receive a refund of the investment.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 “penny stock” is sold to the investor in a fraudulent manner, the investor may be able to sue the persons and firms that committed the fraud for damages.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requirements may have the effect of reducing the level of trading activity, if any, in the secondary market for a security that becomes subject to the penny stock rules. The additional burdens imposed upon broker-dealers by such requirements may discourage broker-dealers from effecting transactions in our securities, which could severely limit the market price and liquidity of our securities. These requirements may restrict the ability of broker-dealers to sell our common stock and may affect your ability to resell our common stock.</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brokerage firms will discourage or refrain from recommending investments in penny stocks. Most institutional investors will not invest in penny stocks. In addition, many individual investors will not invest in penny stocks due, among other reasons, to the increased financial risk generally associated with these investments.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reasons, penny stocks may have a limited market and, consequently, limited liquidity. We can give no assurance at what time, if ever, our common stock will not be classified as a “penny stock” in the future.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benefits of any proposed acquisition do not meet the expectations of investors, stockholders or financial analysts, the market price of our common stock may decline.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benefits of any proposed acquisition do not meet the expectations of investors or securities analysts, the market price of our common stock prior to the closing of the proposed acquisition may decline. The market values of our common stock at the time of the proposed acquisition may vary significantly from their prices on the date the acquisition target was identified.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may materially harm the market price of our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principles and guidance, or their interpretation, could result in unfavorable accounting charges or effects, including changes to our previously filed financial statements, which could cause our stock price to decline.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of America (“GAAP”). These principles are subject to interpretation by the SEC and various bodies formed to interpret and create appropriate accounting principles and guidance. A change in these principles or guidance, or in their interpretations, may have a significant effect on our reported results and retroactively affect previously reported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under the Jumpstart Our Business Startups Act of 2012, as amended (the “JOBS Act”), we are permitted to rely on exemptions from certain disclosure requirements.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under the JOBS Act. As a result, we are permitted to, and intend to, rely on exemptions from certain disclosure requirements. For so long as we are an emerging growth company, we will not be required to:</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auditor report on our internal control over financial reporting pursuant to Section 404(b) of the Sarbanes-Oxley Act of 2002, as amended (the “Sarbanes-Oxley Act”);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any requirement that may be adopted by the Public Company Accounting Oversight Board regarding mandatory audit firm rotation or a supplement to the auditors’ report providing additional information about the audit and the consolidated financial statements (i.e., an auditor discussion and analysis);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certain executive compensation matters to stockholder advisory votes, such as “say-on-pay” and “say-on-frequency”;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certain executive compensation related items such as the correlation between executive compensation and performance and comparisons of the chief executive officer’s compensation to median employee compensation.</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102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consolidated financial statements may therefore not be comparable to those of companies that comply with such new or revised accounting standards.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will remain an emerging growth company until the earliest to occur of: (i) the end of the first fiscal year in which our annual gross revenue is $1.07 billion or more; (ii) the end of the fiscal year in which the market value of our common shares that are held by non-affiliates is at least $700.0 million as of the last business day of our most recently completed second fiscal quarter; (iii) the date on which we have, during the previous three-year period, issued more than $1.0 billion in non-convertible debt; and (iv) the end of the fiscal year during which the fifth anniversary of our initial public offering occurs.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however, 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implement and maintain effective internal control over financial reporting, investors may lose confidence in the accuracy and completeness of our financial reports and have an adverse effect on the value of our securities.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 Further, we are required to report any changes in internal controls on a quarterly basis. In addition, we are required to furnish a report by management on the effectiveness of internal control over financial reporting pursuant to Section 404 of the Sarbanes-Oxley Act. We have, and will continue to, design, implement, and test the internal control over financial reporting required to comply with these obligations.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its internal control over financial reporting when required, investors may lose confidence in the accuracy and completeness of our financial reports and the value of our securities could be negatively affected. We also could become subject to investigations by the SEC or other regulatory authorities, which could require additional financial and management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our auditor will not be required to attest to the effectiveness of our internal controls.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will not be required to attest to the effectiveness of our internal control over financial reporting while we are an emerging growth company. This means that the effectiveness of our financial operations may differ from our peer companies in that they may be required to obtain independent registered public accounting firm attestations as to the effectiveness of their internal controls over financial reporting and we are not. While our management will be required to attest to internal control over financial reporting and we will be required to detail changes to our internal controls on a quarterly basis, we cannot provide assurance that the independent registered public accounting firm’s review process in assessing the effectiveness of our internal controls over financial reporting, if obtained, would not find one or more material weaknesses or significant deficiencies. Further, once we cease to be an emerging growth company and cease to be a smaller reporting company (as described below), we will be subject to independent registered public accounting firm attestation regarding the effectiveness of our internal controls over financial reporting. Even if management finds such controls to be effective, our independent registered public accounting firm may decline to attest to the effectiveness of such internal controls and issue a qualified report.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smaller reporting company and accordingly, are exempt from certain disclosure requirements, which could make our common stock less attractive to potential investors.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12b-2 of the Exchange Act defines a “smaller reporting company” as an issuer that is not an investment company, an asset-backed issuer, or a majority-owned subsidiary of a parent that is not a smaller reporting company and that:</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 public float of less than $250 million as of the last business day of its most recently completed second fiscal quarter, computed by multiplying the aggregate worldwide number of shares of its voting and non-voting common equity held by non-affiliates by the price at which the common equity was last sold, or the average of the bid and asked prices of common equity, in the principal market for the common equity; or</w:t>
            </w:r>
          </w:p>
        </w:tc>
      </w:tr>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public offering price of the shares; or</w:t>
            </w:r>
          </w:p>
        </w:tc>
      </w:tr>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issuer whose public float as calculated under the first or second bullets was zero or whose public float was less than $700 million, had annual revenues of less than $100 million during the most recently completed fiscal year for which audited financial statements are available.</w:t>
            </w:r>
          </w:p>
        </w:tc>
      </w:tr>
    </w:tbl>
    <w:p>
      <w:pPr>
        <w:pStyle w:val="TextBody"/>
        <w:ind w:left="0" w:right="0" w:firstLine="810"/>
        <w:jc w:val="both"/>
        <w:rPr>
          <w:caps w:val="false"/>
          <w:smallCaps w:val="false"/>
        </w:rPr>
      </w:pPr>
      <w:r>
        <w:rPr>
          <w:caps w:val="false"/>
          <w:smallCaps w:val="false"/>
        </w:rPr>
        <w:t> </w:t>
      </w:r>
    </w:p>
    <w:p>
      <w:pPr>
        <w:pStyle w:val="TextBody"/>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and may not include, a Compensation Discussion and Analysis section in our proxy statements; we will provide only two years of financial statements; and we need not provide the table of selected financial data. We also will have other “scaled” disclosure requirements that are less comprehensive than issuers that are not smaller reporting companies which could make our common stock less attractive to potential investors, which could make it more difficult for our stockholders to sell their shares.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increased costs as a result of operating as a public company, and our management is required to devote substantial time to new compliance initiatives.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In addition, the Sarbanes-Oxley Act has imposed various requirements on public companies, including requiring establishment and maintenance of effective disclosure and financial controls. Our management and other personnel must devote a substantial amount of time to these compliance initiatives. Moreover, these rules and regulations have increased and will continue to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In addition, we are required to have our independent registered public accounting firm attest to the effectiveness of our internal control over financial reporting on the later of our second annual report on Form 10-K or the first annual report on Form 10-K following the date on which we are no longer an emerging growth company or a smaller reporting company.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identify deficiencies in our internal control over financial reporting that are deemed to be material weaknesses, the value of our securities could decline and we could be subject to sanctions or investigations by the SEC or other regulatory authorities, which would require additional financial and management resources.</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have an adverse impact on value of our securities, and could adversely affect our ability to access the capital markets.</w:t>
      </w:r>
    </w:p>
    <w:p>
      <w:pPr>
        <w:pStyle w:val="TextBody"/>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contained in our certificate of incorporation and bylaws, as well as provisions of Delaware law, could impair a takeover attempt.</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and bylaws contain provisions that could have the effect of delaying or preventing changes in control or changes in our management without the consent of our board of directors. These provisions include:</w:t>
      </w:r>
    </w:p>
    <w:p>
      <w:pPr>
        <w:pStyle w:val="TextBody"/>
        <w:shd w:fill="FFFFFF" w:val="clear"/>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tc>
      </w:tr>
    </w:tbl>
    <w:p>
      <w:pPr>
        <w:pStyle w:val="TextBody"/>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liability of, and providing indemnification to, our directors and officers;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a special meeting of the stockholders may only be called by a majority of the board of directors;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directors may be removed prior to the expiration of their terms by the affirmative vote of the holders of not less than 2/3 of the voting power of the issued and outstanding stock entitled to vote;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tc>
      </w:tr>
    </w:tbl>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the Company or changes in our board of directors and management.</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our certificate of incorporation or bylaws or Delaware law that has the effect of delaying or deterring a change in control could limit the opportunity for our security holders to receive a premium for their securities and could also affect the price that some investors are willing to pay for our securities.</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common stock and have no plans to do so in the future.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receive such dividends as may be declared by our board of directors. To date, we have paid no cash dividends on our shares of common stock and we do not expect to pay cash dividends on our common stock in the foreseeable future. We intend to retain future earnings, if any, to provide funds for operations of our business. Therefore, any return investors in our common stock may have will be in the form of appreciation, if any, in the market value of their shares of common stock. See “Dividend Policy.”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indemnify and hold harmless our officers and directors to the maximum extent permitted by Delaware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 that we will indemnify and hold harmless our officers and directors against claims arising from our activities, to the maximum extent permitted by Delaware law. If we were called upon to perform under our indemnification obligations, then the portion of our assets expended for such purpose would reduce the amount otherwise available for our business.</w:t>
      </w:r>
    </w:p>
    <w:p>
      <w:pPr>
        <w:pStyle w:val="TextBody"/>
        <w:ind w:left="0" w:right="0" w:firstLine="641"/>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6" w:name="S1_004"/>
      <w:bookmarkEnd w:id="36"/>
      <w:r>
        <w:rPr>
          <w:rFonts w:ascii="Times New Roman;Times;Serif" w:hAnsi="Times New Roman;Times;Serif"/>
          <w:b/>
          <w:i w:val="false"/>
          <w:caps w:val="false"/>
          <w:smallCaps w:val="false"/>
          <w:sz w:val="20"/>
        </w:rPr>
        <w:t>ITEM 1B. UNRESOLVED STAFF COMMENTS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7" w:name="S1_005"/>
      <w:bookmarkEnd w:id="37"/>
      <w:r>
        <w:rPr>
          <w:rFonts w:ascii="Times New Roman;Times;Serif" w:hAnsi="Times New Roman;Times;Serif"/>
          <w:b/>
          <w:i w:val="false"/>
          <w:caps w:val="false"/>
          <w:smallCaps w:val="false"/>
          <w:sz w:val="20"/>
        </w:rPr>
        <w:t>ITEM 2. PROPERTIES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at 8201 164th Ave. NE, #200, Redmond, WA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2023. Terms of the virtual office arrangement provide for a rent payment of $35.695 per month. We also lease a warehouse located at Floor 35, No. 1123-1139, Fangshan Beier Road, Xiangbei Industry District, Xiamen, China, where we lease approximately 1680 square meter from an unaffiliated third party. This lease expires in January, 2022. Terms of this lease provide for a base rent payment of RMB21,840 (approximately US$3,116) per month. In January, 2022, we partnered with FBABEEE located at 1st Floor, Building B, No. 2, Hongye North 17 Road, Tangxia Town, Dongguan City,Guangdong, China, who handle our storage and warehousing from an unaffiliated third party. This service expires in January, 2023. The terms of this service provide for a base payment that is charged based on our usage. Flywheel, our wholly owned subsidiary, had three new office leases in Taiwan in 2022. The respective lease terms are January 1, 2022 to December 31, 2023, June 1, 2022 to May 31, 2024, and August 1, 2022 to July 31, 2024, and the total contract amounts are $534,910, $114,016 and $157,973, respectively. We believe that these facilities are adequate for our current and near-term future needs.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8" w:name="S1_006"/>
      <w:bookmarkEnd w:id="38"/>
      <w:r>
        <w:rPr>
          <w:rFonts w:ascii="Times New Roman;Times;Serif" w:hAnsi="Times New Roman;Times;Serif"/>
          <w:b/>
          <w:i w:val="false"/>
          <w:caps w:val="false"/>
          <w:smallCaps w:val="false"/>
          <w:sz w:val="20"/>
        </w:rPr>
        <w:t>ITEM 3. LEGAL PROCEEDINGS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9" w:name="S1_007"/>
      <w:bookmarkEnd w:id="39"/>
      <w:r>
        <w:rPr>
          <w:rFonts w:ascii="Times New Roman;Times;Serif" w:hAnsi="Times New Roman;Times;Serif"/>
          <w:b/>
          <w:i w:val="false"/>
          <w:caps w:val="false"/>
          <w:smallCaps w:val="false"/>
          <w:sz w:val="20"/>
        </w:rPr>
        <w:t>ITEM 4. MINE SAFETY DISCLOSURES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0" w:name="S1_008"/>
      <w:bookmarkEnd w:id="40"/>
      <w:r>
        <w:rPr>
          <w:rFonts w:ascii="Times New Roman;Times;Serif" w:hAnsi="Times New Roman;Times;Serif"/>
          <w:b/>
          <w:i w:val="false"/>
          <w:caps w:val="false"/>
          <w:smallCaps w:val="false"/>
          <w:sz w:val="20"/>
        </w:rPr>
        <w:t>PART II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1" w:name="S1_009"/>
      <w:bookmarkEnd w:id="4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Information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The Nasdaq Capital Market and its stock symbol is “HOUR.” The closing price of our common stock on Nasdaq on March 30, 2023 was $2.004.</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there were 35,047,828 shares of common stock issued and outstanding, and we had approximately 6 holders of record of our common stock. The number of record holders does not include beneficial owners of common stock whose shares are held in the names of banks, brokers, nominees or other fiduciaries.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and do not currently anticipate paying cash dividends in the foreseeable future. We intend to retain future earnings, if any, for reinvestment in the development and expansion of our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Authorized for Issuance Under Equity Compensation Plans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2021, our Board of Directors and stockholders holding a majority of our outstanding shares of common stock approved the 2021 Plan. Under the 2021 Plan, a total of 4,995,000 shares of common stock were originally authorized for issuance pursuant to the grant of stock options, stock appreciation rights, restricted stock, restricted stock units, performance units, performance shares or other cash- or stock-based awards to officers, directors, employees and eligible consultants to the Company or its subsidiaries. Pursuant to the terms of the 2021 Plan and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31, 2023, there were 5,994,000 shares authorized for issuance under the 2021 Plan, and 5,994,000 shares available for issuance under the 2021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connection with our conversion from a Washington corporation to a Delaware corporation on April 7, 2021, we issued 5,000,000 (pre-stock splits) shares of common stock to each of Sam Lai, our Chief Executive Officer, and Maggie Yu, our Senior Vice President (for an aggregate of 10,000,000 (pre-stock splits) shares of common stock).</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2021, our board of directors and stockholders approved a forward stock split in a ratio of 4.44-for-1 (“Forward Stock Split”) and on September 27, 2021, we filed a certificate of amendment to our Certificate of Incorporation implementing the Forward Stock Split in a ratio of 4.44-for-1, effective September 27, 2021. Therefore, on September 27, 2021, following the Forward Stock Split, Sam Lai, our Chief Executive Officer, and Maggie Yu, our Senior Vice President, each held 22,200,000 shares of common stock </w:t>
      </w:r>
      <w:r>
        <w:rPr>
          <w:rFonts w:ascii="Times New Roman;Times;Serif" w:hAnsi="Times New Roman;Times;Serif"/>
          <w:b w:val="false"/>
          <w:i w:val="false"/>
          <w:caps w:val="false"/>
          <w:smallCaps w:val="false"/>
          <w:sz w:val="20"/>
          <w:highlight w:val="white"/>
        </w:rPr>
        <w:t>(for an aggregate of 44,400,000 shares of common stock).</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29, 2021, our board of directors and stockholders approved a reverse stock split in a ratio of 0.75-for-1 (“Reverse Stock Split”) and on December 1, 2021, we filed a certificate of amendment to our Certificate of Incorporation implementing the Reverse Stock Split in a ratio of 0.75-for-1, effective December 3, 2021. Therefore, on December 3, 2021, following the Reverse Stock Split, Sam Lai, our Chief Executive Officer, and Maggie Yu, our Senior Vice President, each held 16,650,000 shares of common stock </w:t>
      </w:r>
      <w:r>
        <w:rPr>
          <w:rFonts w:ascii="Times New Roman;Times;Serif" w:hAnsi="Times New Roman;Times;Serif"/>
          <w:b w:val="false"/>
          <w:i w:val="false"/>
          <w:caps w:val="false"/>
          <w:smallCaps w:val="false"/>
          <w:sz w:val="20"/>
          <w:highlight w:val="white"/>
        </w:rPr>
        <w:t>(for an aggregate of 33,300,000 shares of common stock).</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issued and vested 1,772 shares of Company common stock to each of Sam Lai, our Chief Executive Officer, and Maggie Yu, our Senior Vice President, with a fair market value of $4.00 per share as compensation for the past services to the Company pursuant to the terms of their Executive Employment Agreements with the Company.</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issued and vested 1,750, 1,750, and 709 shares of Company common stock to Michael Lenner, Douglas Branch, and Alan Gao, respectively, with a fair market value of $4.00 per share as compensation for the past services as directors to the Company pursuant to the terms of their Director Agreements with the Company.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issuances were made pursuant to an exemption from registration as set forth in 506 of Regulation D and Section 4(a)(2) of the Securities Act.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Purchases of Equity Securities by the Issuer and Affiliated Purchasers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transfer agent is </w:t>
      </w:r>
      <w:r>
        <w:rPr>
          <w:rFonts w:ascii="Times New Roman;Times;Serif" w:hAnsi="Times New Roman;Times;Serif"/>
          <w:b w:val="false"/>
          <w:i w:val="false"/>
          <w:caps w:val="false"/>
          <w:smallCaps w:val="false"/>
          <w:sz w:val="20"/>
          <w:highlight w:val="white"/>
        </w:rPr>
        <w:t xml:space="preserve">Nevada Agency and Transfer Company. The transfer agent’s </w:t>
      </w:r>
      <w:r>
        <w:rPr>
          <w:rFonts w:ascii="Times New Roman;Times;Serif" w:hAnsi="Times New Roman;Times;Serif"/>
          <w:b w:val="false"/>
          <w:i w:val="false"/>
          <w:caps w:val="false"/>
          <w:smallCaps w:val="false"/>
          <w:sz w:val="20"/>
        </w:rPr>
        <w:t xml:space="preserve">address is 50 West Liberty Street, Suite 880, Reno, Nevada 89501, and its telephone number is </w:t>
      </w:r>
      <w:r>
        <w:rPr>
          <w:rFonts w:ascii="Times New Roman;Times;Serif" w:hAnsi="Times New Roman;Times;Serif"/>
          <w:b w:val="false"/>
          <w:i w:val="false"/>
          <w:caps w:val="false"/>
          <w:smallCaps w:val="false"/>
          <w:sz w:val="20"/>
          <w:highlight w:val="white"/>
        </w:rPr>
        <w:t>(775) 322-0626.</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2" w:name="S1_010"/>
      <w:bookmarkEnd w:id="42"/>
      <w:r>
        <w:rPr>
          <w:rFonts w:ascii="Times New Roman;Times;Serif" w:hAnsi="Times New Roman;Times;Serif"/>
          <w:b/>
          <w:i w:val="false"/>
          <w:caps w:val="false"/>
          <w:smallCaps w:val="false"/>
          <w:sz w:val="20"/>
        </w:rPr>
        <w:t>ITEM 6. RESERVED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3" w:name="S1_011"/>
      <w:bookmarkEnd w:id="4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Note Regarding Forward-Looking Statements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annual report on Form 10-K,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When used in this annual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our filings with the SEC.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financial statements and the notes thereto contained elsewhere in this annual report on Form 10-K. Certain information contained in the discussion and analysis set forth below includes forward-looking statements that involve risks and uncertainties. Unless the context otherwise requires, “Hour Loop,” “we,” “us,” “our,” or the “Company” refers to Hour Loop, Inc. and its consolidated subsidiaries.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online retailer engaged in e-commerce retailing in the U.S. market. We have operated as a third-party seller on </w:t>
      </w:r>
      <w:r>
        <w:rPr>
          <w:rFonts w:ascii="Times New Roman;Times;Serif" w:hAnsi="Times New Roman;Times;Serif"/>
          <w:b w:val="false"/>
          <w:i/>
          <w:caps w:val="false"/>
          <w:smallCaps w:val="false"/>
          <w:sz w:val="20"/>
        </w:rPr>
        <w:t xml:space="preserve">www.amazon.com </w:t>
      </w:r>
      <w:r>
        <w:rPr>
          <w:rFonts w:ascii="Times New Roman;Times;Serif" w:hAnsi="Times New Roman;Times;Serif"/>
          <w:b w:val="false"/>
          <w:i w:val="false"/>
          <w:caps w:val="false"/>
          <w:smallCaps w:val="false"/>
          <w:sz w:val="20"/>
        </w:rPr>
        <w:t xml:space="preserve">since 2013. We have also sold merchandise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since 2013. We expanded our operations to www.walmart.com in October 2020. To date, we have generated practically all of our revenue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and only a negligible amount of revenue from our operations on our website at www.hourloop.com and as a third-party seller on </w:t>
      </w:r>
      <w:r>
        <w:rPr>
          <w:rFonts w:ascii="Times New Roman;Times;Serif" w:hAnsi="Times New Roman;Times;Serif"/>
          <w:b w:val="false"/>
          <w:i/>
          <w:caps w:val="false"/>
          <w:smallCaps w:val="false"/>
          <w:sz w:val="20"/>
        </w:rPr>
        <w:t>www.walmart.com</w:t>
      </w:r>
      <w:r>
        <w:rPr>
          <w:rFonts w:ascii="Times New Roman;Times;Serif" w:hAnsi="Times New Roman;Times;Serif"/>
          <w:b w:val="false"/>
          <w:i w:val="false"/>
          <w:caps w:val="false"/>
          <w:smallCaps w:val="false"/>
          <w:sz w:val="20"/>
        </w:rPr>
        <w:t>. We manage more than 100,000 stock-keeping units (“SKUs”). Product categories include home/garden décor, toys, kitchenware, apparels, and electronics. Our primary strategy is to bring most of our vendors product selections to the customers. We have advanced software that assists us in identifying product gaps so we can keep such products in stock year-round including the entirety of the last quarter (holiday season) of the calendar year (“Q4”). In upcoming years, we plan to expand our business rapidly by increasing the number of business managers, vendors and SKUs.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Model</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t>
      </w:r>
      <w:r>
        <w:rPr>
          <w:rFonts w:ascii="Times New Roman;Times;Serif" w:hAnsi="Times New Roman;Times;Serif"/>
          <w:b w:val="false"/>
          <w:i/>
          <w:caps w:val="false"/>
          <w:smallCaps w:val="false"/>
          <w:sz w:val="20"/>
        </w:rPr>
        <w:t>www.walmart.com</w:t>
      </w:r>
      <w:r>
        <w:rPr>
          <w:rFonts w:ascii="Times New Roman;Times;Serif" w:hAnsi="Times New Roman;Times;Serif"/>
          <w:b w:val="false"/>
          <w:i w:val="false"/>
          <w:caps w:val="false"/>
          <w:smallCaps w:val="false"/>
          <w:sz w:val="20"/>
        </w:rPr>
        <w:t>.</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selling via a wholesale model:</w:t>
      </w:r>
    </w:p>
    <w:p>
      <w:pPr>
        <w:pStyle w:val="TextBody"/>
        <w:shd w:fill="FFFFFF" w:val="clear"/>
        <w:ind w:left="0" w:right="0" w:firstLine="720"/>
        <w:jc w:val="both"/>
        <w:rPr>
          <w:caps w:val="false"/>
          <w:smallCaps w:val="false"/>
        </w:rPr>
      </w:pPr>
      <w:r>
        <w:rPr>
          <w:caps w:val="false"/>
          <w:smallCaps w:val="false"/>
        </w:rPr>
        <w:t> </w:t>
      </w:r>
    </w:p>
    <w:tbl>
      <w:tblPr>
        <w:tblW w:w="8440" w:type="dxa"/>
        <w:jc w:val="left"/>
        <w:tblInd w:w="0" w:type="dxa"/>
        <w:tblCellMar>
          <w:top w:w="0" w:type="dxa"/>
          <w:left w:w="0" w:type="dxa"/>
          <w:bottom w:w="0" w:type="dxa"/>
          <w:right w:w="0" w:type="dxa"/>
        </w:tblCellMar>
      </w:tblPr>
      <w:tblGrid>
        <w:gridCol w:w="75"/>
        <w:gridCol w:w="170"/>
        <w:gridCol w:w="819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lower unit quantities with wholesale orders than private label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wholesale is less time intensive and easier to scale than sourcing products via retail arbitrage.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brands will want to work with us because we can provide broader Amazon presence.</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of selling via a wholesale model:</w:t>
      </w:r>
    </w:p>
    <w:p>
      <w:pPr>
        <w:pStyle w:val="TextBody"/>
        <w:shd w:fill="FFFFFF" w:val="clear"/>
        <w:ind w:left="0" w:right="0" w:firstLine="720"/>
        <w:jc w:val="both"/>
        <w:rPr>
          <w:caps w:val="false"/>
          <w:smallCaps w:val="false"/>
        </w:rPr>
      </w:pPr>
      <w:r>
        <w:rPr>
          <w:caps w:val="false"/>
          <w:smallCaps w:val="false"/>
        </w:rPr>
        <w:t> </w:t>
      </w:r>
    </w:p>
    <w:tbl>
      <w:tblPr>
        <w:tblW w:w="6745" w:type="dxa"/>
        <w:jc w:val="left"/>
        <w:tblInd w:w="0" w:type="dxa"/>
        <w:tblCellMar>
          <w:top w:w="0" w:type="dxa"/>
          <w:left w:w="0" w:type="dxa"/>
          <w:bottom w:w="0" w:type="dxa"/>
          <w:right w:w="0" w:type="dxa"/>
        </w:tblCellMar>
      </w:tblPr>
      <w:tblGrid>
        <w:gridCol w:w="75"/>
        <w:gridCol w:w="170"/>
        <w:gridCol w:w="650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5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Fierce competition on listing for Buy Box on amazon.com (as described below).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5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relationships with brand manufacturers.</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Description/Opportunities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retail sales increased 18% to $6.56 trillion in 2021 from $5.56 trillion in 2020. Consumers spent $960.15 billion online with U.S. merchants in 2021, which is around 14.63% of total retail sales for the year compared to 14.60% in 2020. Amazon accounted for nearly 40% of all e-commerce in the United States and that makes Amazon the biggest ecommerce giant currently in the market.</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Formation</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We were originally incorporated under the laws of the State of Washington on January 13, 2015. In 2019, we formed a wholly owned subsidiary, Flywheel Consulting Ltd. (“Flywheel”), to provide business operating consulting services, exclusively to Hour Loop. On April 7, 2021, Hour Loop converted from a Washington corporation to a Delaware corporation. </w:t>
      </w:r>
      <w:r>
        <w:rPr>
          <w:rFonts w:ascii="Times New Roman;Times;Serif" w:hAnsi="Times New Roman;Times;Serif"/>
          <w:b w:val="false"/>
          <w:i w:val="false"/>
          <w:caps w:val="false"/>
          <w:smallCaps w:val="false"/>
          <w:sz w:val="20"/>
        </w:rPr>
        <w:t>The Company was founded in 2013 by Sam Lai and Maggie Yu. With their vision, leadership, and software development skills, the Company grew rapidly. From 2013 to 2022, sales grew from $0 to $95,930,091.</w:t>
      </w:r>
    </w:p>
    <w:p>
      <w:pPr>
        <w:pStyle w:val="TextBody"/>
        <w:shd w:fill="FFFFFF" w:val="clear"/>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advantage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more than 2 million active third-party sellers on Amazon, we believe we have two main competitive advantages:</w:t>
      </w:r>
    </w:p>
    <w:p>
      <w:pPr>
        <w:pStyle w:val="TextBody"/>
        <w:shd w:fill="FFFFFF" w:val="clear"/>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have strong operations and sales teams experienced in listing, shipment, advertising, reconciliation and sales. By delivering high quality results and enhancing procedures through the process, our teams are competitive.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advertising strategy, we advertise those products that we estimate will have greater demand based on our experience. This lets us allocate our advertising budget in a fashion that delivers positive value. We advertise our products on Amazon. We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the advertising is fierce, we allocate the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short term increase in revenue. During these times, we avoid matching their prices. This strategy allows us to stay profitable.</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Position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2022 and 2021, we generated net revenues of $95,930,091 and $62,792,981, respectively, and reported net (loss) income of $(1,477,623) and $4,783,773, respectively, and cash flow (used in) provided by operating activities of $(11,603,176) and $7,791,069, respectively. As noted in our consolidated financial statements, as of December 31, 2022, we had retained earnings of $1,177,072.</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2022 Compared to Year Ended December 31,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comparison of our 2022 and 2021 income statements.</w:t>
      </w:r>
    </w:p>
    <w:p>
      <w:pPr>
        <w:pStyle w:val="TextBody"/>
        <w:jc w:val="both"/>
        <w:rPr>
          <w:caps w:val="false"/>
          <w:smallCaps w:val="false"/>
        </w:rPr>
      </w:pPr>
      <w:r>
        <w:rPr>
          <w:caps w:val="false"/>
          <w:smallCaps w:val="false"/>
        </w:rPr>
        <w:t> </w:t>
      </w:r>
    </w:p>
    <w:tbl>
      <w:tblPr>
        <w:tblW w:w="7658" w:type="dxa"/>
        <w:jc w:val="left"/>
        <w:tblInd w:w="0" w:type="dxa"/>
        <w:tblCellMar>
          <w:top w:w="0" w:type="dxa"/>
          <w:left w:w="0" w:type="dxa"/>
          <w:bottom w:w="0" w:type="dxa"/>
          <w:right w:w="0" w:type="dxa"/>
        </w:tblCellMar>
      </w:tblPr>
      <w:tblGrid>
        <w:gridCol w:w="3425"/>
        <w:gridCol w:w="60"/>
        <w:gridCol w:w="208"/>
        <w:gridCol w:w="1746"/>
        <w:gridCol w:w="95"/>
        <w:gridCol w:w="60"/>
        <w:gridCol w:w="208"/>
        <w:gridCol w:w="1746"/>
        <w:gridCol w:w="110"/>
      </w:tblGrid>
      <w:tr>
        <w:trPr/>
        <w:tc>
          <w:tcPr>
            <w:tcW w:w="3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6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w:t>
            </w:r>
          </w:p>
        </w:tc>
        <w:tc>
          <w:tcPr>
            <w:tcW w:w="110"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2021</w:t>
            </w:r>
          </w:p>
        </w:tc>
        <w:tc>
          <w:tcPr>
            <w:tcW w:w="110"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283"/>
              <w:jc w:val="left"/>
              <w:rPr>
                <w:b/>
              </w:rPr>
            </w:pPr>
            <w:r>
              <w:rPr>
                <w:b/>
              </w:rPr>
              <w:t>Statement of Operations Data</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425" w:type="dxa"/>
            <w:tcBorders/>
            <w:shd w:fill="FFFFFF" w:val="clear"/>
            <w:vAlign w:val="center"/>
          </w:tcPr>
          <w:p>
            <w:pPr>
              <w:pStyle w:val="TableContents"/>
              <w:spacing w:before="0" w:after="283"/>
              <w:jc w:val="left"/>
              <w:rPr/>
            </w:pPr>
            <w:r>
              <w:rPr/>
              <w:t>Total revenues</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746" w:type="dxa"/>
            <w:tcBorders/>
            <w:shd w:fill="FFFFFF" w:val="clear"/>
            <w:vAlign w:val="center"/>
          </w:tcPr>
          <w:p>
            <w:pPr>
              <w:pStyle w:val="TableContents"/>
              <w:spacing w:before="0" w:after="283"/>
              <w:jc w:val="right"/>
              <w:rPr/>
            </w:pPr>
            <w:r>
              <w:rPr/>
              <w:t>95,930,091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746" w:type="dxa"/>
            <w:tcBorders/>
            <w:shd w:fill="FFFFFF" w:val="clear"/>
            <w:vAlign w:val="center"/>
          </w:tcPr>
          <w:p>
            <w:pPr>
              <w:pStyle w:val="TableContents"/>
              <w:spacing w:before="0" w:after="283"/>
              <w:jc w:val="right"/>
              <w:rPr/>
            </w:pPr>
            <w:r>
              <w:rPr/>
              <w:t>62,792,981</w:t>
            </w:r>
          </w:p>
        </w:tc>
        <w:tc>
          <w:tcPr>
            <w:tcW w:w="110" w:type="dxa"/>
            <w:tcBorders/>
            <w:shd w:fill="FFFFFF" w:val="clear"/>
            <w:vAlign w:val="center"/>
          </w:tcPr>
          <w:p>
            <w:pPr>
              <w:pStyle w:val="TableContents"/>
              <w:spacing w:before="0" w:after="283"/>
              <w:jc w:val="left"/>
              <w:rPr/>
            </w:pPr>
            <w:r>
              <w:rPr/>
              <w:t> </w:t>
            </w:r>
          </w:p>
        </w:tc>
      </w:tr>
      <w:tr>
        <w:trPr/>
        <w:tc>
          <w:tcPr>
            <w:tcW w:w="3425" w:type="dxa"/>
            <w:tcBorders/>
            <w:shd w:fill="CCEEFF" w:val="clear"/>
            <w:vAlign w:val="center"/>
          </w:tcPr>
          <w:p>
            <w:pPr>
              <w:pStyle w:val="TableContents"/>
              <w:spacing w:before="0" w:after="283"/>
              <w:jc w:val="left"/>
              <w:rPr/>
            </w:pPr>
            <w:r>
              <w:rPr/>
              <w:t>Total cost of goods sold</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(46,942,770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(27,984,335</w:t>
            </w:r>
          </w:p>
        </w:tc>
        <w:tc>
          <w:tcPr>
            <w:tcW w:w="110" w:type="dxa"/>
            <w:tcBorders/>
            <w:shd w:fill="CCEEFF" w:val="clear"/>
            <w:vAlign w:val="center"/>
          </w:tcPr>
          <w:p>
            <w:pPr>
              <w:pStyle w:val="TableContents"/>
              <w:spacing w:before="0" w:after="283"/>
              <w:jc w:val="left"/>
              <w:rPr/>
            </w:pPr>
            <w:r>
              <w:rPr/>
              <w:t>)</w:t>
            </w:r>
          </w:p>
        </w:tc>
      </w:tr>
      <w:tr>
        <w:trPr/>
        <w:tc>
          <w:tcPr>
            <w:tcW w:w="3425"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 </w:t>
            </w:r>
          </w:p>
        </w:tc>
        <w:tc>
          <w:tcPr>
            <w:tcW w:w="1746" w:type="dxa"/>
            <w:tcBorders/>
            <w:shd w:fill="FFFFFF" w:val="clear"/>
            <w:vAlign w:val="center"/>
          </w:tcPr>
          <w:p>
            <w:pPr>
              <w:pStyle w:val="TableContents"/>
              <w:spacing w:before="0" w:after="283"/>
              <w:jc w:val="right"/>
              <w:rPr/>
            </w:pPr>
            <w:r>
              <w:rPr/>
              <w:t>48,987,321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 </w:t>
            </w:r>
          </w:p>
        </w:tc>
        <w:tc>
          <w:tcPr>
            <w:tcW w:w="1746" w:type="dxa"/>
            <w:tcBorders/>
            <w:shd w:fill="FFFFFF" w:val="clear"/>
            <w:vAlign w:val="center"/>
          </w:tcPr>
          <w:p>
            <w:pPr>
              <w:pStyle w:val="TableContents"/>
              <w:spacing w:before="0" w:after="283"/>
              <w:jc w:val="right"/>
              <w:rPr/>
            </w:pPr>
            <w:r>
              <w:rPr/>
              <w:t>34,808,646</w:t>
            </w:r>
          </w:p>
        </w:tc>
        <w:tc>
          <w:tcPr>
            <w:tcW w:w="110" w:type="dxa"/>
            <w:tcBorders/>
            <w:shd w:fill="FFFFFF" w:val="clear"/>
            <w:vAlign w:val="center"/>
          </w:tcPr>
          <w:p>
            <w:pPr>
              <w:pStyle w:val="TableContents"/>
              <w:spacing w:before="0" w:after="283"/>
              <w:jc w:val="left"/>
              <w:rPr/>
            </w:pPr>
            <w:r>
              <w:rPr/>
              <w:t> </w:t>
            </w:r>
          </w:p>
        </w:tc>
      </w:tr>
      <w:tr>
        <w:trPr/>
        <w:tc>
          <w:tcPr>
            <w:tcW w:w="3425"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50,906,679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29,334,497</w:t>
            </w:r>
          </w:p>
        </w:tc>
        <w:tc>
          <w:tcPr>
            <w:tcW w:w="110" w:type="dxa"/>
            <w:tcBorders/>
            <w:shd w:fill="CCEEFF" w:val="clear"/>
            <w:vAlign w:val="center"/>
          </w:tcPr>
          <w:p>
            <w:pPr>
              <w:pStyle w:val="TableContents"/>
              <w:spacing w:before="0" w:after="283"/>
              <w:jc w:val="left"/>
              <w:rPr/>
            </w:pPr>
            <w:r>
              <w:rPr/>
              <w:t> </w:t>
            </w:r>
          </w:p>
        </w:tc>
      </w:tr>
      <w:tr>
        <w:trPr/>
        <w:tc>
          <w:tcPr>
            <w:tcW w:w="3425" w:type="dxa"/>
            <w:tcBorders/>
            <w:shd w:fill="FFFFFF" w:val="clear"/>
            <w:vAlign w:val="center"/>
          </w:tcPr>
          <w:p>
            <w:pPr>
              <w:pStyle w:val="TableContents"/>
              <w:spacing w:before="0" w:after="283"/>
              <w:jc w:val="left"/>
              <w:rPr/>
            </w:pPr>
            <w:r>
              <w:rPr/>
              <w:t>(Loss) Income from operations</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 </w:t>
            </w:r>
          </w:p>
        </w:tc>
        <w:tc>
          <w:tcPr>
            <w:tcW w:w="1746" w:type="dxa"/>
            <w:tcBorders/>
            <w:shd w:fill="FFFFFF" w:val="clear"/>
            <w:vAlign w:val="center"/>
          </w:tcPr>
          <w:p>
            <w:pPr>
              <w:pStyle w:val="TableContents"/>
              <w:spacing w:before="0" w:after="283"/>
              <w:jc w:val="right"/>
              <w:rPr/>
            </w:pPr>
            <w:r>
              <w:rPr/>
              <w:t>(1,919,358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 </w:t>
            </w:r>
          </w:p>
        </w:tc>
        <w:tc>
          <w:tcPr>
            <w:tcW w:w="1746" w:type="dxa"/>
            <w:tcBorders/>
            <w:shd w:fill="FFFFFF" w:val="clear"/>
            <w:vAlign w:val="center"/>
          </w:tcPr>
          <w:p>
            <w:pPr>
              <w:pStyle w:val="TableContents"/>
              <w:spacing w:before="0" w:after="283"/>
              <w:jc w:val="right"/>
              <w:rPr/>
            </w:pPr>
            <w:r>
              <w:rPr/>
              <w:t>5,474,149</w:t>
            </w:r>
          </w:p>
        </w:tc>
        <w:tc>
          <w:tcPr>
            <w:tcW w:w="110" w:type="dxa"/>
            <w:tcBorders/>
            <w:shd w:fill="FFFFFF" w:val="clear"/>
            <w:vAlign w:val="center"/>
          </w:tcPr>
          <w:p>
            <w:pPr>
              <w:pStyle w:val="TableContents"/>
              <w:spacing w:before="0" w:after="283"/>
              <w:jc w:val="left"/>
              <w:rPr/>
            </w:pPr>
            <w:r>
              <w:rPr/>
              <w:t> </w:t>
            </w:r>
          </w:p>
        </w:tc>
      </w:tr>
      <w:tr>
        <w:trPr/>
        <w:tc>
          <w:tcPr>
            <w:tcW w:w="3425" w:type="dxa"/>
            <w:tcBorders/>
            <w:shd w:fill="CCEEFF" w:val="clear"/>
            <w:vAlign w:val="center"/>
          </w:tcPr>
          <w:p>
            <w:pPr>
              <w:pStyle w:val="TableContents"/>
              <w:spacing w:before="0" w:after="283"/>
              <w:jc w:val="left"/>
              <w:rPr/>
            </w:pPr>
            <w:r>
              <w:rPr/>
              <w:t>Total other non-operating income</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(20,428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18,829</w:t>
            </w:r>
          </w:p>
        </w:tc>
        <w:tc>
          <w:tcPr>
            <w:tcW w:w="110" w:type="dxa"/>
            <w:tcBorders/>
            <w:shd w:fill="CCEEFF" w:val="clear"/>
            <w:vAlign w:val="center"/>
          </w:tcPr>
          <w:p>
            <w:pPr>
              <w:pStyle w:val="TableContents"/>
              <w:spacing w:before="0" w:after="283"/>
              <w:jc w:val="left"/>
              <w:rPr/>
            </w:pPr>
            <w:r>
              <w:rPr/>
              <w:t> </w:t>
            </w:r>
          </w:p>
        </w:tc>
      </w:tr>
      <w:tr>
        <w:trPr/>
        <w:tc>
          <w:tcPr>
            <w:tcW w:w="3425" w:type="dxa"/>
            <w:tcBorders/>
            <w:shd w:fill="FFFFFF" w:val="clear"/>
            <w:vAlign w:val="center"/>
          </w:tcPr>
          <w:p>
            <w:pPr>
              <w:pStyle w:val="TableContents"/>
              <w:spacing w:before="0" w:after="283"/>
              <w:jc w:val="left"/>
              <w:rPr/>
            </w:pPr>
            <w:r>
              <w:rPr/>
              <w:t>Income tax provisions</w:t>
            </w:r>
          </w:p>
        </w:tc>
        <w:tc>
          <w:tcPr>
            <w:tcW w:w="60" w:type="dxa"/>
            <w:tcBorders/>
            <w:shd w:fill="FFFFFF" w:val="clear"/>
            <w:vAlign w:val="center"/>
          </w:tcPr>
          <w:p>
            <w:pPr>
              <w:pStyle w:val="TableContents"/>
              <w:spacing w:before="0" w:after="283"/>
              <w:rPr/>
            </w:pPr>
            <w:r>
              <w:rPr/>
              <w:t> </w:t>
            </w:r>
          </w:p>
        </w:tc>
        <w:tc>
          <w:tcPr>
            <w:tcW w:w="20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FFFFFF" w:val="clear"/>
            <w:tcMar>
              <w:bottom w:w="28" w:type="dxa"/>
            </w:tcMar>
            <w:vAlign w:val="center"/>
          </w:tcPr>
          <w:p>
            <w:pPr>
              <w:pStyle w:val="TableContents"/>
              <w:spacing w:before="0" w:after="283"/>
              <w:jc w:val="right"/>
              <w:rPr/>
            </w:pPr>
            <w:r>
              <w:rPr/>
              <w:t>462,163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FFFFFF" w:val="clear"/>
            <w:tcMar>
              <w:bottom w:w="28" w:type="dxa"/>
            </w:tcMar>
            <w:vAlign w:val="center"/>
          </w:tcPr>
          <w:p>
            <w:pPr>
              <w:pStyle w:val="TableContents"/>
              <w:spacing w:before="0" w:after="283"/>
              <w:jc w:val="right"/>
              <w:rPr/>
            </w:pPr>
            <w:r>
              <w:rPr/>
              <w:t>(709,205</w:t>
            </w:r>
          </w:p>
        </w:tc>
        <w:tc>
          <w:tcPr>
            <w:tcW w:w="110" w:type="dxa"/>
            <w:tcBorders/>
            <w:shd w:fill="FFFFFF" w:val="clear"/>
            <w:vAlign w:val="center"/>
          </w:tcPr>
          <w:p>
            <w:pPr>
              <w:pStyle w:val="TableContents"/>
              <w:spacing w:before="0" w:after="283"/>
              <w:jc w:val="left"/>
              <w:rPr/>
            </w:pPr>
            <w:r>
              <w:rPr/>
              <w:t>)</w:t>
            </w:r>
          </w:p>
        </w:tc>
      </w:tr>
      <w:tr>
        <w:trPr/>
        <w:tc>
          <w:tcPr>
            <w:tcW w:w="3425" w:type="dxa"/>
            <w:tcBorders/>
            <w:shd w:fill="CCEEFF" w:val="clear"/>
            <w:vAlign w:val="center"/>
          </w:tcPr>
          <w:p>
            <w:pPr>
              <w:pStyle w:val="TableContents"/>
              <w:spacing w:before="0" w:after="283"/>
              <w:jc w:val="left"/>
              <w:rPr/>
            </w:pPr>
            <w:r>
              <w:rPr/>
              <w:t>Net (Loss) income</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(1,477,623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4,783,773</w:t>
            </w:r>
          </w:p>
        </w:tc>
        <w:tc>
          <w:tcPr>
            <w:tcW w:w="110" w:type="dxa"/>
            <w:tcBorders/>
            <w:shd w:fill="CCEEFF" w:val="clear"/>
            <w:vAlign w:val="center"/>
          </w:tcPr>
          <w:p>
            <w:pPr>
              <w:pStyle w:val="TableContents"/>
              <w:spacing w:before="0" w:after="283"/>
              <w:jc w:val="left"/>
              <w:rPr/>
            </w:pPr>
            <w:r>
              <w:rPr/>
              <w:t> </w:t>
            </w:r>
          </w:p>
        </w:tc>
      </w:tr>
      <w:tr>
        <w:trPr/>
        <w:tc>
          <w:tcPr>
            <w:tcW w:w="3425" w:type="dxa"/>
            <w:tcBorders/>
            <w:shd w:fill="FFFFFF" w:val="clear"/>
            <w:vAlign w:val="center"/>
          </w:tcPr>
          <w:p>
            <w:pPr>
              <w:pStyle w:val="TableContents"/>
              <w:spacing w:before="0" w:after="283"/>
              <w:jc w:val="left"/>
              <w:rPr/>
            </w:pPr>
            <w:r>
              <w:rPr/>
              <w:t>Other comprehensive loss</w:t>
            </w:r>
          </w:p>
        </w:tc>
        <w:tc>
          <w:tcPr>
            <w:tcW w:w="60" w:type="dxa"/>
            <w:tcBorders/>
            <w:shd w:fill="FFFFFF" w:val="clear"/>
            <w:vAlign w:val="center"/>
          </w:tcPr>
          <w:p>
            <w:pPr>
              <w:pStyle w:val="TableContents"/>
              <w:spacing w:before="0" w:after="283"/>
              <w:rPr/>
            </w:pPr>
            <w:r>
              <w:rPr/>
              <w:t> </w:t>
            </w:r>
          </w:p>
        </w:tc>
        <w:tc>
          <w:tcPr>
            <w:tcW w:w="20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FFFFFF" w:val="clear"/>
            <w:tcMar>
              <w:bottom w:w="28" w:type="dxa"/>
            </w:tcMar>
            <w:vAlign w:val="center"/>
          </w:tcPr>
          <w:p>
            <w:pPr>
              <w:pStyle w:val="TableContents"/>
              <w:spacing w:before="0" w:after="283"/>
              <w:jc w:val="right"/>
              <w:rPr/>
            </w:pPr>
            <w:r>
              <w:rPr/>
              <w:t>(15,171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FFFFFF" w:val="clear"/>
            <w:tcMar>
              <w:bottom w:w="28" w:type="dxa"/>
            </w:tcMar>
            <w:vAlign w:val="center"/>
          </w:tcPr>
          <w:p>
            <w:pPr>
              <w:pStyle w:val="TableContents"/>
              <w:spacing w:before="0" w:after="283"/>
              <w:jc w:val="right"/>
              <w:rPr/>
            </w:pPr>
            <w:r>
              <w:rPr/>
              <w:t>(4,690</w:t>
            </w:r>
          </w:p>
        </w:tc>
        <w:tc>
          <w:tcPr>
            <w:tcW w:w="110" w:type="dxa"/>
            <w:tcBorders/>
            <w:shd w:fill="FFFFFF" w:val="clear"/>
            <w:vAlign w:val="center"/>
          </w:tcPr>
          <w:p>
            <w:pPr>
              <w:pStyle w:val="TableContents"/>
              <w:spacing w:before="0" w:after="283"/>
              <w:jc w:val="left"/>
              <w:rPr/>
            </w:pPr>
            <w:r>
              <w:rPr/>
              <w:t>)</w:t>
            </w:r>
          </w:p>
        </w:tc>
      </w:tr>
      <w:tr>
        <w:trPr/>
        <w:tc>
          <w:tcPr>
            <w:tcW w:w="3425" w:type="dxa"/>
            <w:tcBorders/>
            <w:shd w:fill="CCEEFF" w:val="clear"/>
            <w:vAlign w:val="center"/>
          </w:tcPr>
          <w:p>
            <w:pPr>
              <w:pStyle w:val="TableContents"/>
              <w:spacing w:before="0" w:after="283"/>
              <w:jc w:val="left"/>
              <w:rPr/>
            </w:pPr>
            <w:r>
              <w:rPr/>
              <w:t>Total comprehensive (Loss) income</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746" w:type="dxa"/>
            <w:tcBorders/>
            <w:shd w:fill="CCEEFF" w:val="clear"/>
            <w:vAlign w:val="center"/>
          </w:tcPr>
          <w:p>
            <w:pPr>
              <w:pStyle w:val="TableContents"/>
              <w:spacing w:before="0" w:after="283"/>
              <w:jc w:val="right"/>
              <w:rPr/>
            </w:pPr>
            <w:r>
              <w:rPr/>
              <w:t>(1,492,794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746" w:type="dxa"/>
            <w:tcBorders/>
            <w:shd w:fill="CCEEFF" w:val="clear"/>
            <w:vAlign w:val="center"/>
          </w:tcPr>
          <w:p>
            <w:pPr>
              <w:pStyle w:val="TableContents"/>
              <w:spacing w:before="0" w:after="283"/>
              <w:jc w:val="right"/>
              <w:rPr/>
            </w:pPr>
            <w:r>
              <w:rPr/>
              <w:t>4,779,083</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$95,930,091 in 2022 as compared to $$62,792,981 in revenue in 2021. The growth in revenue was $33,137,110 or 52.77%. We attribute this growth to our continued growth and maturity in our operating model, which was enhanced by a favorable e-commerce environment. Our total orders in 2022 were approximately 3,879,711, as compared to 2,210,629 orders in 2021. This represented an increase of 75.50%.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year ended December 31, 2022 totaled $46,942,770, as compared to $27,984,335 for the year ended December 31, 2021. Cost of goods sold includes the cost of the merchandise sold and shipping costs, as well as estimated losses due to damage to goods. The increase in cost of goods sold was due to a greater number of items sold as a result of greater number of orders in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year ended December 31, 2022 totaled $50,906,679, a $21,572,182 increase from the $29,334,497 of operating expenses for the year ended December 31, 2021. This change was caused by an increase in platform fees paid to Amazon, higher employee compensation and IPO related costs. The Amazon fees are proportional to the revenue. The increase in revenue in 2022 over 2021 drove this increase in platform fees.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Income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for the year ended December 31, 2022 was $(20,428), as compared to $18,829 for the year ended December 31, 2021. Other expense for 2022 related mainly to Interest expense to related parties, while other income for 2021 related mainly due to a local government grant received by Flywheel in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Comprehensive (Loss) Income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 income for the year ended December 31, 2022 was $(1,492,794), as compared to $4,779,083 for the year ended December 31, 2021, representing a decrease in total comprehensive income of $6,271,877. The decrease was driven by an increase in our Cost of goods sold and Operating Expenses for the year ended December 31,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Impacts to Results of Operations from COVID-19</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services, operating results and financial performance could be adversely affected by the overall impacts of the pandemic. Management has determined that there is no material uncertainty that casts substantial doubt on the Company’s ability to continue as a going concern. It is expected that COVID-19 might have some impact, though it is not anticipated to be significant.</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2022 and 2021</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the ability of an enterprise to generate adequate amounts of cash to meet its needs for cash requirements. We had cash of $4,562,589 and $10,592,572 as of December 31, 2022 and 2021, respectively.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have been for inventory, payments to Amazon related to sales and shipping of products, for services provided, payments for marketing and advertising and salaries paid to our employees. We have received funds from the sales of products that we sell online. The following trends are reasonably likely to result in changes in our liquidity over the near to long term:</w:t>
      </w:r>
    </w:p>
    <w:p>
      <w:pPr>
        <w:pStyle w:val="TextBody"/>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75"/>
        <w:gridCol w:w="170"/>
        <w:gridCol w:w="77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working capital requirements to finance the rapid growth in our current business,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7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fees paid to Amazon and other partners as our sales grows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7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being a public company;</w:t>
            </w:r>
          </w:p>
        </w:tc>
      </w:tr>
    </w:tbl>
    <w:p>
      <w:pPr>
        <w:pStyle w:val="TextBody"/>
        <w:jc w:val="center"/>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5950" w:type="dxa"/>
        <w:jc w:val="left"/>
        <w:tblInd w:w="0" w:type="dxa"/>
        <w:tblCellMar>
          <w:top w:w="0" w:type="dxa"/>
          <w:left w:w="0" w:type="dxa"/>
          <w:bottom w:w="0" w:type="dxa"/>
          <w:right w:w="0" w:type="dxa"/>
        </w:tblCellMar>
      </w:tblPr>
      <w:tblGrid>
        <w:gridCol w:w="75"/>
        <w:gridCol w:w="170"/>
        <w:gridCol w:w="570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7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for attracting new customers;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57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7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requirements for the development of additional infrastructure</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generated liquidity from the profitability of our ongoing business and from debt to fund our operations.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flows for the years ended December 31, 2022 and 2021.</w:t>
      </w:r>
    </w:p>
    <w:p>
      <w:pPr>
        <w:pStyle w:val="TextBody"/>
        <w:jc w:val="center"/>
        <w:rPr>
          <w:caps w:val="false"/>
          <w:smallCaps w:val="false"/>
        </w:rPr>
      </w:pPr>
      <w:r>
        <w:rPr>
          <w:caps w:val="false"/>
          <w:smallCaps w:val="false"/>
        </w:rPr>
        <w:t> </w:t>
      </w:r>
    </w:p>
    <w:tbl>
      <w:tblPr>
        <w:tblW w:w="9008" w:type="dxa"/>
        <w:jc w:val="left"/>
        <w:tblInd w:w="0" w:type="dxa"/>
        <w:tblCellMar>
          <w:top w:w="0" w:type="dxa"/>
          <w:left w:w="0" w:type="dxa"/>
          <w:bottom w:w="0" w:type="dxa"/>
          <w:right w:w="0" w:type="dxa"/>
        </w:tblCellMar>
      </w:tblPr>
      <w:tblGrid>
        <w:gridCol w:w="4775"/>
        <w:gridCol w:w="60"/>
        <w:gridCol w:w="208"/>
        <w:gridCol w:w="1746"/>
        <w:gridCol w:w="95"/>
        <w:gridCol w:w="60"/>
        <w:gridCol w:w="220"/>
        <w:gridCol w:w="1734"/>
        <w:gridCol w:w="110"/>
      </w:tblGrid>
      <w:tr>
        <w:trPr/>
        <w:tc>
          <w:tcPr>
            <w:tcW w:w="47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406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w:t>
            </w:r>
          </w:p>
        </w:tc>
        <w:tc>
          <w:tcPr>
            <w:tcW w:w="110"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2021</w:t>
            </w:r>
          </w:p>
        </w:tc>
        <w:tc>
          <w:tcPr>
            <w:tcW w:w="110"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283"/>
              <w:jc w:val="left"/>
              <w:rPr>
                <w:b/>
              </w:rPr>
            </w:pPr>
            <w:r>
              <w:rPr>
                <w:b/>
              </w:rPr>
              <w:t>Statement of Cash Flows</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734"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75" w:type="dxa"/>
            <w:tcBorders/>
            <w:shd w:fill="FFFFFF" w:val="clear"/>
            <w:vAlign w:val="center"/>
          </w:tcPr>
          <w:p>
            <w:pPr>
              <w:pStyle w:val="TableContents"/>
              <w:spacing w:before="0" w:after="283"/>
              <w:jc w:val="left"/>
              <w:rPr/>
            </w:pPr>
            <w:r>
              <w:rPr/>
              <w:t>Net cash (used in) provided by operating activities</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746" w:type="dxa"/>
            <w:tcBorders/>
            <w:shd w:fill="FFFFFF" w:val="clear"/>
            <w:vAlign w:val="center"/>
          </w:tcPr>
          <w:p>
            <w:pPr>
              <w:pStyle w:val="TableContents"/>
              <w:spacing w:before="0" w:after="283"/>
              <w:jc w:val="right"/>
              <w:rPr/>
            </w:pPr>
            <w:r>
              <w:rPr/>
              <w:t>(11,603,176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w:t>
            </w:r>
          </w:p>
        </w:tc>
        <w:tc>
          <w:tcPr>
            <w:tcW w:w="1734" w:type="dxa"/>
            <w:tcBorders/>
            <w:shd w:fill="FFFFFF" w:val="clear"/>
            <w:vAlign w:val="center"/>
          </w:tcPr>
          <w:p>
            <w:pPr>
              <w:pStyle w:val="TableContents"/>
              <w:spacing w:before="0" w:after="283"/>
              <w:jc w:val="right"/>
              <w:rPr/>
            </w:pPr>
            <w:r>
              <w:rPr/>
              <w:t>7,764,057</w:t>
            </w:r>
          </w:p>
        </w:tc>
        <w:tc>
          <w:tcPr>
            <w:tcW w:w="110" w:type="dxa"/>
            <w:tcBorders/>
            <w:shd w:fill="FFFFFF" w:val="clear"/>
            <w:vAlign w:val="center"/>
          </w:tcPr>
          <w:p>
            <w:pPr>
              <w:pStyle w:val="TableContents"/>
              <w:spacing w:before="0" w:after="283"/>
              <w:jc w:val="left"/>
              <w:rPr/>
            </w:pPr>
            <w:r>
              <w:rPr/>
              <w:t> </w:t>
            </w:r>
          </w:p>
        </w:tc>
      </w:tr>
      <w:tr>
        <w:trPr/>
        <w:tc>
          <w:tcPr>
            <w:tcW w:w="4775" w:type="dxa"/>
            <w:tcBorders/>
            <w:shd w:fill="CCEEFF" w:val="clear"/>
            <w:vAlign w:val="center"/>
          </w:tcPr>
          <w:p>
            <w:pPr>
              <w:pStyle w:val="TableContents"/>
              <w:spacing w:before="0" w:after="283"/>
              <w:jc w:val="left"/>
              <w:rPr/>
            </w:pPr>
            <w:r>
              <w:rPr/>
              <w:t>Net cash (used in) investing activities</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746" w:type="dxa"/>
            <w:tcBorders/>
            <w:shd w:fill="CCEEFF" w:val="clear"/>
            <w:vAlign w:val="center"/>
          </w:tcPr>
          <w:p>
            <w:pPr>
              <w:pStyle w:val="TableContents"/>
              <w:spacing w:before="0" w:after="283"/>
              <w:jc w:val="right"/>
              <w:rPr/>
            </w:pPr>
            <w:r>
              <w:rPr/>
              <w:t>(339,518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w:t>
            </w:r>
          </w:p>
        </w:tc>
        <w:tc>
          <w:tcPr>
            <w:tcW w:w="1734" w:type="dxa"/>
            <w:tcBorders/>
            <w:shd w:fill="CCEEFF" w:val="clear"/>
            <w:vAlign w:val="center"/>
          </w:tcPr>
          <w:p>
            <w:pPr>
              <w:pStyle w:val="TableContents"/>
              <w:spacing w:before="0" w:after="283"/>
              <w:jc w:val="right"/>
              <w:rPr/>
            </w:pPr>
            <w:r>
              <w:rPr/>
              <w:t>(16,115</w:t>
            </w:r>
          </w:p>
        </w:tc>
        <w:tc>
          <w:tcPr>
            <w:tcW w:w="110" w:type="dxa"/>
            <w:tcBorders/>
            <w:shd w:fill="CCEEFF" w:val="clear"/>
            <w:vAlign w:val="center"/>
          </w:tcPr>
          <w:p>
            <w:pPr>
              <w:pStyle w:val="TableContents"/>
              <w:spacing w:before="0" w:after="283"/>
              <w:jc w:val="left"/>
              <w:rPr/>
            </w:pPr>
            <w:r>
              <w:rPr/>
              <w:t>)</w:t>
            </w:r>
          </w:p>
        </w:tc>
      </w:tr>
      <w:tr>
        <w:trPr/>
        <w:tc>
          <w:tcPr>
            <w:tcW w:w="4775" w:type="dxa"/>
            <w:tcBorders/>
            <w:shd w:fill="FFFFFF" w:val="clear"/>
            <w:vAlign w:val="center"/>
          </w:tcPr>
          <w:p>
            <w:pPr>
              <w:pStyle w:val="TableContents"/>
              <w:spacing w:before="0" w:after="283"/>
              <w:jc w:val="left"/>
              <w:rPr/>
            </w:pPr>
            <w:r>
              <w:rPr/>
              <w:t>Net cash provided by (used in) financing activities</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746" w:type="dxa"/>
            <w:tcBorders/>
            <w:shd w:fill="FFFFFF" w:val="clear"/>
            <w:vAlign w:val="center"/>
          </w:tcPr>
          <w:p>
            <w:pPr>
              <w:pStyle w:val="TableContents"/>
              <w:spacing w:before="0" w:after="283"/>
              <w:jc w:val="right"/>
              <w:rPr/>
            </w:pPr>
            <w:r>
              <w:rPr/>
              <w:t>5,923,342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w:t>
            </w:r>
          </w:p>
        </w:tc>
        <w:tc>
          <w:tcPr>
            <w:tcW w:w="1734" w:type="dxa"/>
            <w:tcBorders/>
            <w:shd w:fill="FFFFFF" w:val="clear"/>
            <w:vAlign w:val="center"/>
          </w:tcPr>
          <w:p>
            <w:pPr>
              <w:pStyle w:val="TableContents"/>
              <w:spacing w:before="0" w:after="283"/>
              <w:jc w:val="right"/>
              <w:rPr/>
            </w:pPr>
            <w:r>
              <w:rPr/>
              <w:t>(2,126,177</w:t>
            </w:r>
          </w:p>
        </w:tc>
        <w:tc>
          <w:tcPr>
            <w:tcW w:w="110" w:type="dxa"/>
            <w:tcBorders/>
            <w:shd w:fill="FFFFFF" w:val="clear"/>
            <w:vAlign w:val="center"/>
          </w:tcPr>
          <w:p>
            <w:pPr>
              <w:pStyle w:val="TableContents"/>
              <w:spacing w:before="0" w:after="283"/>
              <w:jc w:val="left"/>
              <w:rPr/>
            </w:pPr>
            <w:r>
              <w:rPr/>
              <w:t>)</w:t>
            </w:r>
          </w:p>
        </w:tc>
      </w:tr>
      <w:tr>
        <w:trPr/>
        <w:tc>
          <w:tcPr>
            <w:tcW w:w="4775" w:type="dxa"/>
            <w:tcBorders/>
            <w:shd w:fill="CCEEFF" w:val="clear"/>
            <w:vAlign w:val="center"/>
          </w:tcPr>
          <w:p>
            <w:pPr>
              <w:pStyle w:val="TableContents"/>
              <w:spacing w:before="0" w:after="283"/>
              <w:jc w:val="left"/>
              <w:rPr/>
            </w:pPr>
            <w:r>
              <w:rPr/>
              <w:t>Effect of changes in foreign currency rates</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(10,631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34" w:type="dxa"/>
            <w:tcBorders>
              <w:bottom w:val="single" w:sz="12" w:space="0" w:color="000000"/>
            </w:tcBorders>
            <w:shd w:fill="CCEEFF" w:val="clear"/>
            <w:tcMar>
              <w:bottom w:w="28" w:type="dxa"/>
            </w:tcMar>
            <w:vAlign w:val="center"/>
          </w:tcPr>
          <w:p>
            <w:pPr>
              <w:pStyle w:val="TableContents"/>
              <w:spacing w:before="0" w:after="283"/>
              <w:jc w:val="right"/>
              <w:rPr/>
            </w:pPr>
            <w:r>
              <w:rPr/>
              <w:t>2,743</w:t>
            </w:r>
          </w:p>
        </w:tc>
        <w:tc>
          <w:tcPr>
            <w:tcW w:w="110" w:type="dxa"/>
            <w:tcBorders/>
            <w:shd w:fill="CCEEFF" w:val="clear"/>
            <w:vAlign w:val="center"/>
          </w:tcPr>
          <w:p>
            <w:pPr>
              <w:pStyle w:val="TableContents"/>
              <w:spacing w:before="0" w:after="283"/>
              <w:jc w:val="left"/>
              <w:rPr/>
            </w:pPr>
            <w:r>
              <w:rPr/>
              <w:t> </w:t>
            </w:r>
          </w:p>
        </w:tc>
      </w:tr>
      <w:tr>
        <w:trPr/>
        <w:tc>
          <w:tcPr>
            <w:tcW w:w="4775" w:type="dxa"/>
            <w:tcBorders/>
            <w:shd w:fill="FFFFFF" w:val="clear"/>
            <w:vAlign w:val="center"/>
          </w:tcPr>
          <w:p>
            <w:pPr>
              <w:pStyle w:val="TableContents"/>
              <w:spacing w:before="0" w:after="283"/>
              <w:jc w:val="left"/>
              <w:rPr/>
            </w:pPr>
            <w:r>
              <w:rPr/>
              <w:t>Net (decrease) increase in cash</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746" w:type="dxa"/>
            <w:tcBorders/>
            <w:shd w:fill="FFFFFF" w:val="clear"/>
            <w:vAlign w:val="center"/>
          </w:tcPr>
          <w:p>
            <w:pPr>
              <w:pStyle w:val="TableContents"/>
              <w:spacing w:before="0" w:after="283"/>
              <w:jc w:val="right"/>
              <w:rPr/>
            </w:pPr>
            <w:r>
              <w:rPr/>
              <w:t>(6,029,983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w:t>
            </w:r>
          </w:p>
        </w:tc>
        <w:tc>
          <w:tcPr>
            <w:tcW w:w="1734" w:type="dxa"/>
            <w:tcBorders/>
            <w:shd w:fill="FFFFFF" w:val="clear"/>
            <w:vAlign w:val="center"/>
          </w:tcPr>
          <w:p>
            <w:pPr>
              <w:pStyle w:val="TableContents"/>
              <w:spacing w:before="0" w:after="283"/>
              <w:jc w:val="right"/>
              <w:rPr/>
            </w:pPr>
            <w:r>
              <w:rPr/>
              <w:t>5,624,508</w:t>
            </w:r>
          </w:p>
        </w:tc>
        <w:tc>
          <w:tcPr>
            <w:tcW w:w="110" w:type="dxa"/>
            <w:tcBorders/>
            <w:shd w:fill="FFFFFF" w:val="clear"/>
            <w:vAlign w:val="center"/>
          </w:tcPr>
          <w:p>
            <w:pPr>
              <w:pStyle w:val="TableContents"/>
              <w:spacing w:before="0" w:after="283"/>
              <w:jc w:val="left"/>
              <w:rPr/>
            </w:pPr>
            <w:r>
              <w:rPr/>
              <w:t> </w:t>
            </w:r>
          </w:p>
        </w:tc>
      </w:tr>
      <w:tr>
        <w:trPr/>
        <w:tc>
          <w:tcPr>
            <w:tcW w:w="4775" w:type="dxa"/>
            <w:tcBorders/>
            <w:shd w:fill="CCEEFF" w:val="clear"/>
            <w:vAlign w:val="center"/>
          </w:tcPr>
          <w:p>
            <w:pPr>
              <w:pStyle w:val="TableContents"/>
              <w:spacing w:before="0" w:after="283"/>
              <w:rPr/>
            </w:pPr>
            <w:r>
              <w:rPr/>
              <w:t>Cash - beginning of the period</w:t>
            </w:r>
          </w:p>
        </w:tc>
        <w:tc>
          <w:tcPr>
            <w:tcW w:w="60" w:type="dxa"/>
            <w:tcBorders/>
            <w:shd w:fill="CCEEFF" w:val="clear"/>
            <w:vAlign w:val="center"/>
          </w:tcPr>
          <w:p>
            <w:pPr>
              <w:pStyle w:val="TableContents"/>
              <w:spacing w:before="0" w:after="283"/>
              <w:rPr/>
            </w:pPr>
            <w:r>
              <w:rPr/>
              <w:t> </w:t>
            </w:r>
          </w:p>
        </w:tc>
        <w:tc>
          <w:tcPr>
            <w:tcW w:w="20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10,592,572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34" w:type="dxa"/>
            <w:tcBorders>
              <w:bottom w:val="single" w:sz="12" w:space="0" w:color="000000"/>
            </w:tcBorders>
            <w:shd w:fill="CCEEFF" w:val="clear"/>
            <w:tcMar>
              <w:bottom w:w="28" w:type="dxa"/>
            </w:tcMar>
            <w:vAlign w:val="center"/>
          </w:tcPr>
          <w:p>
            <w:pPr>
              <w:pStyle w:val="TableContents"/>
              <w:spacing w:before="0" w:after="283"/>
              <w:jc w:val="right"/>
              <w:rPr/>
            </w:pPr>
            <w:r>
              <w:rPr/>
              <w:t>4,968,064</w:t>
            </w:r>
          </w:p>
        </w:tc>
        <w:tc>
          <w:tcPr>
            <w:tcW w:w="110" w:type="dxa"/>
            <w:tcBorders/>
            <w:shd w:fill="CCEEFF" w:val="clear"/>
            <w:vAlign w:val="center"/>
          </w:tcPr>
          <w:p>
            <w:pPr>
              <w:pStyle w:val="TableContents"/>
              <w:spacing w:before="0" w:after="283"/>
              <w:jc w:val="left"/>
              <w:rPr/>
            </w:pPr>
            <w:r>
              <w:rPr/>
              <w:t> </w:t>
            </w:r>
          </w:p>
        </w:tc>
      </w:tr>
      <w:tr>
        <w:trPr/>
        <w:tc>
          <w:tcPr>
            <w:tcW w:w="4775" w:type="dxa"/>
            <w:tcBorders/>
            <w:shd w:fill="FFFFFF" w:val="clear"/>
            <w:vAlign w:val="center"/>
          </w:tcPr>
          <w:p>
            <w:pPr>
              <w:pStyle w:val="TableContents"/>
              <w:spacing w:before="0" w:after="283"/>
              <w:rPr/>
            </w:pPr>
            <w:r>
              <w:rPr/>
              <w:t>Cash - end of the period</w:t>
            </w:r>
          </w:p>
        </w:tc>
        <w:tc>
          <w:tcPr>
            <w:tcW w:w="60" w:type="dxa"/>
            <w:tcBorders/>
            <w:shd w:fill="FFFFFF" w:val="clear"/>
            <w:vAlign w:val="center"/>
          </w:tcPr>
          <w:p>
            <w:pPr>
              <w:pStyle w:val="TableContents"/>
              <w:spacing w:before="0" w:after="283"/>
              <w:rPr/>
            </w:pPr>
            <w:r>
              <w:rPr/>
              <w:t> </w:t>
            </w:r>
          </w:p>
        </w:tc>
        <w:tc>
          <w:tcPr>
            <w:tcW w:w="208"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spacing w:before="0" w:after="283"/>
              <w:jc w:val="right"/>
              <w:rPr/>
            </w:pPr>
            <w:r>
              <w:rPr/>
              <w:t>4,562,589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spacing w:before="0" w:after="283"/>
              <w:jc w:val="right"/>
              <w:rPr/>
            </w:pPr>
            <w:r>
              <w:rPr/>
              <w:t>10,592,572</w:t>
            </w:r>
          </w:p>
        </w:tc>
        <w:tc>
          <w:tcPr>
            <w:tcW w:w="1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provided by from Operating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 cash (used in) provided by operating activities amounted to $(11,603,176), as compared to $7,764,057 for the year ended December 31, 2021. This was driven by our net (loss) income of $(1,477,623), as compared to $4,783,773 in 2021. The decrease in net income was driven by an increase in revenue from $95,930,091 in 2022, as compared to $62,792,981 in 2021. This increase in revenue was offset by a corresponding increase in cost of goods sold and an increase in operating expenses of $21,572,182.</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 $339,518 in cash was used in investing activities, as compared to $16,115 cash used in investing activities for the fiscal year ended December 31, 2021.</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(Used in) Financing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 cash provided by financing activities amounted to $5,923,342, as compared to cash used in financing activities of $2,126,177 for 177 the fiscal year ended December 31, 2021. The cash provided by financing activities in 2022 related to the proceeds of the Company’s initial public offering of $6,156,360. The cash used in financing activities in 2021 was mainly due to a distribution to stockholders of $6,302,418, offset by $4,170,418 in long-term debt obtained from related parties.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COVID-19</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World Health Organization recognized the novel strain of coronavirus (COVID-19) as a pandemic. This COVID-19 outbreak has severely restricted the level of economic activity around the world. In response to this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The Company’s services, operating results and financial performance could be adversely affected by the overall impacts of the pandemic. Management has determined that there is no material uncertainty that casts substantial doubt on the Company’s ability to continue as a going concern. It is expected that COVID-19 might have some impact, though it is not anticipated to be significant.</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we do not have any long-term capital lease obligations, operating lease obligations or long-term liabilities.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Bank of America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2019, the Company issued a Promissory Note (the “BofA Note”) in the amount of $785,000 to Bank of America (the “Lender”) for a loan in the amount of $785,000. The BofA Note matures on June 18, 2024 and bears interest at a rate of 8.11% per annum. The monthly payment is $15,963, consisting of $11,398 of principal and $4,565 of interest. As of December 31, 2022, the aggregate principal amount of the BofA Note outstanding was $-. As of December 31, 2022, there was an outstanding balance of deferred interest of $27,996.</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Taishin International Bank</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signed a line of credit agreement in the amount of $6,940,063 with Taishin International Bank (“Taishin”). The line of credit matures on August 30, 2023. As of December 31, 2022, the outstanding balance under the Taishin line of credit was $652,316, and bears interest at a rate of 2.6% per annum. Also, Flywheel has accrued interest expense of $1,440 as of December 31, 2022.</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PPP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2020, the Company issued a promissory note (the “PPP Note”) in the amount of $27,012 under the Paycheck Protection Program (“PPP”) to JP Morgan Chase Bank, N.A. (the “Lender”). The PPP, established as part of the Coronavirus Aid, Relief, and Economic Security Act (the “CARES Act”), which was enacted on March 27, 2020, provides for loans to qualifying businesses for amounts up to 2.5 times of the average monthly payroll expenses of the qualifying business. The PPP Note was set to mature on April 7, 2022, and bore interest at a rate of 0.98% per annum, payable monthly commencing October 5, 2020, following an initial deferral period as specified under the PPP loan. The PPP Note could be prepaid at any time prior to maturity with no prepayment penalties. The Paycheck Protection Program Flexibility Act (the “Flexibility Act”), signed on June 5, 2020, amended certain provisions of the PPP, including the deferral period and repayment terms. The Flexibility Act extends the deferral period of payments of PPP loan principal, interest, and fees to the date when the U.S. Small Business Administration makes a final decision on the borrower’s application for forgiveness, or 10 months after the last day of the covered period if a borrower has not applied for forgiveness (whichever is earlier). This extension applies regardless of the terms of the PPP and does not require an amendment of the PPP. As such, the Company did not make any payments on the PPP Note during 2020.</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PPP loan, up to the entire amount of principal and accrued interest may be forgiven to the extent PPP loan proceeds are used for qualifying expenses as described in the CARES Act and applicable implementing guidance issued by the U.S. Small Business Administration under the PPP loan. On May 6, 2021, the entire amount of principal and accrued interest on the PPP Note was forgiven.</w:t>
      </w:r>
    </w:p>
    <w:p>
      <w:pPr>
        <w:pStyle w:val="TextBody"/>
        <w:shd w:fill="FFFFFF" w:val="clear"/>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S Corporation to C Corporation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Affiliated Loans</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receives loans and advances from its stockholders to fund its operations. As of December 31, 2022, the Company had $4,329,460 due to related parties. While stockholder payables are non-interest bearing and payable on demand, the Company and stockholders entered into loan agreements for loans with terms over one year.</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December 2020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2020 and later modified on September 16, 2021, the Company, Mr. Lai and Ms. Yu entered into a loan agreement of $1,041,353 and converted it into a retroactive interest-bearing (2%) loan with a repayment date of December 31, 2021. On January 18, 2022, the Company repaid the loan in full. Together, Mr. Lai and Ms. Yu hold over 95% of the Company’s outstanding shares. Mr. Lai is the Company’s Chairman of the Board, Chief Executive Officer and Interim Chief Financial Officer. Ms. Yu is the Company’s Senior Vice President and a member of the Company’s Board of Directors.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2021 Loan</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2021, the Company, Mr. Lai and Ms. Yu entered into a loan agreement with a principal amount of $4,170,418. The loan is subordinated. The annual interest rate is 2% and the repayment date is December 31, 2022. The Company had accrued interest of $120,003 as of December 31, 2022. On December 28, 2022, the Company, Mr. Lai and Ms. Yu agreed to extend the term of the loan, with the new maturity date of December 31, 2024. As amended, the annual interest rate of the loan is 5.5%.</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operating leases (Flywheel has three offices lease in Taiwan). The respective lease terms are January 1, 2022 to December 31, 2023, June 1, 2022 to May 31, 2024, and August 1, 2022 to July 31, 2024, respectively.</w:t>
      </w:r>
    </w:p>
    <w:p>
      <w:pPr>
        <w:pStyle w:val="TextBody"/>
        <w:jc w:val="both"/>
        <w:rPr>
          <w:caps w:val="false"/>
          <w:smallCaps w:val="false"/>
        </w:rPr>
      </w:pPr>
      <w:r>
        <w:rPr>
          <w:caps w:val="false"/>
          <w:smallCaps w:val="false"/>
        </w:rPr>
        <w:t> </w:t>
      </w:r>
    </w:p>
    <w:tbl>
      <w:tblPr>
        <w:tblW w:w="6050" w:type="dxa"/>
        <w:jc w:val="left"/>
        <w:tblInd w:w="0" w:type="dxa"/>
        <w:tblCellMar>
          <w:top w:w="0" w:type="dxa"/>
          <w:left w:w="0" w:type="dxa"/>
          <w:bottom w:w="28" w:type="dxa"/>
          <w:right w:w="0" w:type="dxa"/>
        </w:tblCellMar>
      </w:tblPr>
      <w:tblGrid>
        <w:gridCol w:w="4865"/>
        <w:gridCol w:w="60"/>
        <w:gridCol w:w="140"/>
        <w:gridCol w:w="875"/>
        <w:gridCol w:w="110"/>
      </w:tblGrid>
      <w:tr>
        <w:trPr/>
        <w:tc>
          <w:tcPr>
            <w:tcW w:w="4865" w:type="dxa"/>
            <w:tcBorders>
              <w:bottom w:val="single" w:sz="12" w:space="0" w:color="000000"/>
            </w:tcBorders>
            <w:shd w:fill="auto" w:val="clear"/>
            <w:vAlign w:val="center"/>
          </w:tcPr>
          <w:p>
            <w:pPr>
              <w:pStyle w:val="TableContents"/>
              <w:spacing w:before="0" w:after="283"/>
              <w:jc w:val="center"/>
              <w:rPr/>
            </w:pPr>
            <w:r>
              <w:rPr/>
              <w:t>For the Year Ending December 31,</w:t>
            </w:r>
          </w:p>
        </w:tc>
        <w:tc>
          <w:tcPr>
            <w:tcW w:w="60" w:type="dxa"/>
            <w:tcBorders/>
            <w:shd w:fill="auto" w:val="clear"/>
            <w:tcMar>
              <w:bottom w:w="0" w:type="dxa"/>
            </w:tcMar>
            <w:vAlign w:val="center"/>
          </w:tcPr>
          <w:p>
            <w:pPr>
              <w:pStyle w:val="TableContents"/>
              <w:spacing w:before="0" w:after="283"/>
              <w:rPr/>
            </w:pPr>
            <w:r>
              <w:rPr/>
              <w:t> </w:t>
            </w:r>
          </w:p>
        </w:tc>
        <w:tc>
          <w:tcPr>
            <w:tcW w:w="1015" w:type="dxa"/>
            <w:gridSpan w:val="2"/>
            <w:tcBorders>
              <w:bottom w:val="single" w:sz="12" w:space="0" w:color="000000"/>
            </w:tcBorders>
            <w:shd w:fill="auto" w:val="clear"/>
            <w:vAlign w:val="center"/>
          </w:tcPr>
          <w:p>
            <w:pPr>
              <w:pStyle w:val="TableContents"/>
              <w:spacing w:before="0" w:after="283"/>
              <w:jc w:val="center"/>
              <w:rPr/>
            </w:pPr>
            <w:r>
              <w:rPr/>
              <w:t>Amount</w:t>
            </w:r>
          </w:p>
        </w:tc>
        <w:tc>
          <w:tcPr>
            <w:tcW w:w="110" w:type="dxa"/>
            <w:tcBorders/>
            <w:shd w:fill="auto" w:val="clear"/>
            <w:tcMar>
              <w:bottom w:w="0" w:type="dxa"/>
            </w:tcMar>
            <w:vAlign w:val="center"/>
          </w:tcPr>
          <w:p>
            <w:pPr>
              <w:pStyle w:val="TableContents"/>
              <w:spacing w:before="0" w:after="283"/>
              <w:rPr/>
            </w:pPr>
            <w:r>
              <w:rPr/>
              <w:t> </w:t>
            </w:r>
          </w:p>
        </w:tc>
      </w:tr>
      <w:tr>
        <w:trPr/>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15" w:type="dxa"/>
            <w:gridSpan w:val="2"/>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rPr/>
            </w:pPr>
            <w:r>
              <w:rPr/>
              <w:t> </w:t>
            </w:r>
          </w:p>
        </w:tc>
      </w:tr>
      <w:tr>
        <w:trPr/>
        <w:tc>
          <w:tcPr>
            <w:tcW w:w="4865" w:type="dxa"/>
            <w:tcBorders/>
            <w:shd w:fill="CCEEFF" w:val="clear"/>
            <w:tcMar>
              <w:bottom w:w="0" w:type="dxa"/>
            </w:tcMar>
            <w:vAlign w:val="center"/>
          </w:tcPr>
          <w:p>
            <w:pPr>
              <w:pStyle w:val="TableContents"/>
              <w:spacing w:before="0" w:after="283"/>
              <w:jc w:val="center"/>
              <w:rPr/>
            </w:pPr>
            <w:r>
              <w:rPr/>
              <w:t>2023</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75" w:type="dxa"/>
            <w:tcBorders/>
            <w:shd w:fill="CCEEFF" w:val="clear"/>
            <w:tcMar>
              <w:bottom w:w="0" w:type="dxa"/>
            </w:tcMar>
            <w:vAlign w:val="center"/>
          </w:tcPr>
          <w:p>
            <w:pPr>
              <w:pStyle w:val="TableContents"/>
              <w:spacing w:before="0" w:after="283"/>
              <w:jc w:val="right"/>
              <w:rPr/>
            </w:pPr>
            <w:r>
              <w:rPr/>
              <w:t>399,962</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865" w:type="dxa"/>
            <w:tcBorders/>
            <w:shd w:fill="FFFFFF" w:val="clear"/>
            <w:tcMar>
              <w:bottom w:w="0" w:type="dxa"/>
            </w:tcMar>
            <w:vAlign w:val="center"/>
          </w:tcPr>
          <w:p>
            <w:pPr>
              <w:pStyle w:val="TableContents"/>
              <w:spacing w:before="0" w:after="283"/>
              <w:jc w:val="center"/>
              <w:rPr/>
            </w:pPr>
            <w:r>
              <w:rPr/>
              <w:t>2024</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75" w:type="dxa"/>
            <w:tcBorders/>
            <w:shd w:fill="FFFFFF" w:val="clear"/>
            <w:tcMar>
              <w:bottom w:w="0" w:type="dxa"/>
            </w:tcMar>
            <w:vAlign w:val="center"/>
          </w:tcPr>
          <w:p>
            <w:pPr>
              <w:pStyle w:val="TableContents"/>
              <w:spacing w:before="0" w:after="283"/>
              <w:jc w:val="right"/>
              <w:rPr/>
            </w:pPr>
            <w:r>
              <w:rPr/>
              <w:t>68,648</w:t>
            </w:r>
          </w:p>
        </w:tc>
        <w:tc>
          <w:tcPr>
            <w:tcW w:w="110" w:type="dxa"/>
            <w:tcBorders/>
            <w:shd w:fill="FFFFFF" w:val="clear"/>
            <w:tcMar>
              <w:bottom w:w="0" w:type="dxa"/>
            </w:tcMar>
            <w:vAlign w:val="center"/>
          </w:tcPr>
          <w:p>
            <w:pPr>
              <w:pStyle w:val="TableContents"/>
              <w:spacing w:before="0" w:after="283"/>
              <w:jc w:val="left"/>
              <w:rPr/>
            </w:pPr>
            <w:r>
              <w:rPr/>
              <w:t> </w:t>
            </w:r>
          </w:p>
        </w:tc>
      </w:tr>
      <w:tr>
        <w:trPr/>
        <w:tc>
          <w:tcPr>
            <w:tcW w:w="4865" w:type="dxa"/>
            <w:tcBorders/>
            <w:shd w:fill="CCEEFF" w:val="clear"/>
            <w:tcMar>
              <w:bottom w:w="0" w:type="dxa"/>
            </w:tcMar>
            <w:vAlign w:val="center"/>
          </w:tcPr>
          <w:p>
            <w:pPr>
              <w:pStyle w:val="TableContents"/>
              <w:spacing w:before="0" w:after="283"/>
              <w:jc w:val="center"/>
              <w:rPr/>
            </w:pPr>
            <w:r>
              <w:rPr/>
              <w:t>2025</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75"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865" w:type="dxa"/>
            <w:tcBorders/>
            <w:shd w:fill="FFFFFF" w:val="clear"/>
            <w:tcMar>
              <w:bottom w:w="0" w:type="dxa"/>
            </w:tcMar>
            <w:vAlign w:val="center"/>
          </w:tcPr>
          <w:p>
            <w:pPr>
              <w:pStyle w:val="TableContents"/>
              <w:spacing w:before="0" w:after="283"/>
              <w:jc w:val="center"/>
              <w:rPr/>
            </w:pPr>
            <w:r>
              <w:rPr/>
              <w:t>2026 and thereafter</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single" w:sz="12" w:space="0" w:color="000000"/>
            </w:tcBorders>
            <w:shd w:fill="FFFFFF" w:val="clear"/>
            <w:vAlign w:val="center"/>
          </w:tcPr>
          <w:p>
            <w:pPr>
              <w:pStyle w:val="TableContents"/>
              <w:spacing w:before="0" w:after="283"/>
              <w:jc w:val="left"/>
              <w:rPr/>
            </w:pPr>
            <w:r>
              <w:rPr/>
              <w:t> </w:t>
            </w:r>
          </w:p>
        </w:tc>
        <w:tc>
          <w:tcPr>
            <w:tcW w:w="875" w:type="dxa"/>
            <w:tcBorders>
              <w:bottom w:val="single" w:sz="12" w:space="0" w:color="000000"/>
            </w:tcBorders>
            <w:shd w:fill="FFFFFF" w:val="clear"/>
            <w:vAlign w:val="center"/>
          </w:tcPr>
          <w:p>
            <w:pPr>
              <w:pStyle w:val="TableContents"/>
              <w:spacing w:before="0" w:after="283"/>
              <w:jc w:val="right"/>
              <w:rPr/>
            </w:pPr>
            <w:r>
              <w:rPr/>
              <w:t>-</w:t>
            </w:r>
          </w:p>
        </w:tc>
        <w:tc>
          <w:tcPr>
            <w:tcW w:w="110" w:type="dxa"/>
            <w:tcBorders/>
            <w:shd w:fill="FFFFFF" w:val="clear"/>
            <w:tcMar>
              <w:bottom w:w="0" w:type="dxa"/>
            </w:tcMar>
            <w:vAlign w:val="center"/>
          </w:tcPr>
          <w:p>
            <w:pPr>
              <w:pStyle w:val="TableContents"/>
              <w:spacing w:before="0" w:after="283"/>
              <w:jc w:val="left"/>
              <w:rPr/>
            </w:pPr>
            <w:r>
              <w:rPr/>
              <w:t> </w:t>
            </w:r>
          </w:p>
        </w:tc>
      </w:tr>
      <w:tr>
        <w:trPr/>
        <w:tc>
          <w:tcPr>
            <w:tcW w:w="4865" w:type="dxa"/>
            <w:tcBorders/>
            <w:shd w:fill="CCEEFF" w:val="clear"/>
            <w:tcMar>
              <w:bottom w:w="0" w:type="dxa"/>
            </w:tcMar>
            <w:vAlign w:val="center"/>
          </w:tcPr>
          <w:p>
            <w:pPr>
              <w:pStyle w:val="TableContents"/>
              <w:spacing w:before="0" w:after="283"/>
              <w:jc w:val="left"/>
              <w:rPr/>
            </w:pPr>
            <w:r>
              <w:rPr/>
              <w:t>Total minimum lease payments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75" w:type="dxa"/>
            <w:tcBorders/>
            <w:shd w:fill="CCEEFF" w:val="clear"/>
            <w:tcMar>
              <w:bottom w:w="0" w:type="dxa"/>
            </w:tcMar>
            <w:vAlign w:val="center"/>
          </w:tcPr>
          <w:p>
            <w:pPr>
              <w:pStyle w:val="TableContents"/>
              <w:spacing w:before="0" w:after="283"/>
              <w:jc w:val="right"/>
              <w:rPr/>
            </w:pPr>
            <w:r>
              <w:rPr/>
              <w:t>468,610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865" w:type="dxa"/>
            <w:tcBorders/>
            <w:shd w:fill="FFFFFF" w:val="clear"/>
            <w:tcMar>
              <w:bottom w:w="0" w:type="dxa"/>
            </w:tcMar>
            <w:vAlign w:val="center"/>
          </w:tcPr>
          <w:p>
            <w:pPr>
              <w:pStyle w:val="TableContents"/>
              <w:spacing w:before="0" w:after="283"/>
              <w:jc w:val="left"/>
              <w:rPr/>
            </w:pPr>
            <w:r>
              <w:rPr/>
              <w:t>Less: effect of discounting</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single" w:sz="12" w:space="0" w:color="000000"/>
            </w:tcBorders>
            <w:shd w:fill="FFFFFF" w:val="clear"/>
            <w:vAlign w:val="center"/>
          </w:tcPr>
          <w:p>
            <w:pPr>
              <w:pStyle w:val="TableContents"/>
              <w:spacing w:before="0" w:after="283"/>
              <w:jc w:val="left"/>
              <w:rPr/>
            </w:pPr>
            <w:r>
              <w:rPr/>
              <w:t> </w:t>
            </w:r>
          </w:p>
        </w:tc>
        <w:tc>
          <w:tcPr>
            <w:tcW w:w="875" w:type="dxa"/>
            <w:tcBorders>
              <w:bottom w:val="single" w:sz="12" w:space="0" w:color="000000"/>
            </w:tcBorders>
            <w:shd w:fill="FFFFFF" w:val="clear"/>
            <w:vAlign w:val="center"/>
          </w:tcPr>
          <w:p>
            <w:pPr>
              <w:pStyle w:val="TableContents"/>
              <w:spacing w:before="0" w:after="283"/>
              <w:jc w:val="right"/>
              <w:rPr/>
            </w:pPr>
            <w:r>
              <w:rPr/>
              <w:t>(18,449</w:t>
            </w:r>
          </w:p>
        </w:tc>
        <w:tc>
          <w:tcPr>
            <w:tcW w:w="110" w:type="dxa"/>
            <w:tcBorders/>
            <w:shd w:fill="FFFFFF" w:val="clear"/>
            <w:tcMar>
              <w:bottom w:w="0" w:type="dxa"/>
            </w:tcMar>
            <w:vAlign w:val="center"/>
          </w:tcPr>
          <w:p>
            <w:pPr>
              <w:pStyle w:val="TableContents"/>
              <w:spacing w:before="0" w:after="283"/>
              <w:jc w:val="left"/>
              <w:rPr/>
            </w:pPr>
            <w:r>
              <w:rPr/>
              <w:t>)</w:t>
            </w:r>
          </w:p>
        </w:tc>
      </w:tr>
      <w:tr>
        <w:trPr/>
        <w:tc>
          <w:tcPr>
            <w:tcW w:w="4865" w:type="dxa"/>
            <w:tcBorders/>
            <w:shd w:fill="CCEEFF" w:val="clear"/>
            <w:tcMar>
              <w:bottom w:w="0" w:type="dxa"/>
            </w:tcMar>
            <w:vAlign w:val="center"/>
          </w:tcPr>
          <w:p>
            <w:pPr>
              <w:pStyle w:val="TableContents"/>
              <w:spacing w:before="0" w:after="283"/>
              <w:jc w:val="left"/>
              <w:rPr/>
            </w:pPr>
            <w:r>
              <w:rPr/>
              <w:t>Present value of the future minimum lease payment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75" w:type="dxa"/>
            <w:tcBorders/>
            <w:shd w:fill="CCEEFF" w:val="clear"/>
            <w:tcMar>
              <w:bottom w:w="0" w:type="dxa"/>
            </w:tcMar>
            <w:vAlign w:val="center"/>
          </w:tcPr>
          <w:p>
            <w:pPr>
              <w:pStyle w:val="TableContents"/>
              <w:spacing w:before="0" w:after="283"/>
              <w:jc w:val="right"/>
              <w:rPr/>
            </w:pPr>
            <w:r>
              <w:rPr/>
              <w:t>450,161</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865" w:type="dxa"/>
            <w:tcBorders/>
            <w:shd w:fill="FFFFFF" w:val="clear"/>
            <w:tcMar>
              <w:bottom w:w="0" w:type="dxa"/>
            </w:tcMar>
            <w:vAlign w:val="center"/>
          </w:tcPr>
          <w:p>
            <w:pPr>
              <w:pStyle w:val="TableContents"/>
              <w:spacing w:before="0" w:after="283"/>
              <w:jc w:val="left"/>
              <w:rPr/>
            </w:pPr>
            <w:r>
              <w:rPr/>
              <w:t>Less: operating lease liabilities-current</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single" w:sz="12" w:space="0" w:color="000000"/>
            </w:tcBorders>
            <w:shd w:fill="FFFFFF" w:val="clear"/>
            <w:vAlign w:val="center"/>
          </w:tcPr>
          <w:p>
            <w:pPr>
              <w:pStyle w:val="TableContents"/>
              <w:spacing w:before="0" w:after="283"/>
              <w:jc w:val="left"/>
              <w:rPr/>
            </w:pPr>
            <w:r>
              <w:rPr/>
              <w:t> </w:t>
            </w:r>
          </w:p>
        </w:tc>
        <w:tc>
          <w:tcPr>
            <w:tcW w:w="875" w:type="dxa"/>
            <w:tcBorders>
              <w:bottom w:val="single" w:sz="12" w:space="0" w:color="000000"/>
            </w:tcBorders>
            <w:shd w:fill="FFFFFF" w:val="clear"/>
            <w:vAlign w:val="center"/>
          </w:tcPr>
          <w:p>
            <w:pPr>
              <w:pStyle w:val="TableContents"/>
              <w:spacing w:before="0" w:after="283"/>
              <w:jc w:val="right"/>
              <w:rPr/>
            </w:pPr>
            <w:r>
              <w:rPr/>
              <w:t>(385,216</w:t>
            </w:r>
          </w:p>
        </w:tc>
        <w:tc>
          <w:tcPr>
            <w:tcW w:w="110" w:type="dxa"/>
            <w:tcBorders/>
            <w:shd w:fill="FFFFFF" w:val="clear"/>
            <w:tcMar>
              <w:bottom w:w="0" w:type="dxa"/>
            </w:tcMar>
            <w:vAlign w:val="center"/>
          </w:tcPr>
          <w:p>
            <w:pPr>
              <w:pStyle w:val="TableContents"/>
              <w:spacing w:before="0" w:after="283"/>
              <w:jc w:val="left"/>
              <w:rPr/>
            </w:pPr>
            <w:r>
              <w:rPr/>
              <w:t>)</w:t>
            </w:r>
          </w:p>
        </w:tc>
      </w:tr>
      <w:tr>
        <w:trPr/>
        <w:tc>
          <w:tcPr>
            <w:tcW w:w="4865" w:type="dxa"/>
            <w:tcBorders/>
            <w:shd w:fill="CCEEFF" w:val="clear"/>
            <w:tcMar>
              <w:bottom w:w="0" w:type="dxa"/>
            </w:tcMar>
            <w:vAlign w:val="center"/>
          </w:tcPr>
          <w:p>
            <w:pPr>
              <w:pStyle w:val="TableContents"/>
              <w:spacing w:before="0" w:after="283"/>
              <w:jc w:val="left"/>
              <w:rPr/>
            </w:pPr>
            <w:r>
              <w:rPr/>
              <w:t>Total operating lease liabilities-non-current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w:t>
            </w:r>
          </w:p>
        </w:tc>
        <w:tc>
          <w:tcPr>
            <w:tcW w:w="875" w:type="dxa"/>
            <w:tcBorders>
              <w:bottom w:val="single" w:sz="12" w:space="0" w:color="000000"/>
            </w:tcBorders>
            <w:shd w:fill="CCEEFF" w:val="clear"/>
            <w:vAlign w:val="center"/>
          </w:tcPr>
          <w:p>
            <w:pPr>
              <w:pStyle w:val="TableContents"/>
              <w:spacing w:before="0" w:after="283"/>
              <w:jc w:val="right"/>
              <w:rPr/>
            </w:pPr>
            <w:r>
              <w:rPr/>
              <w:t>64,945</w:t>
            </w:r>
          </w:p>
        </w:tc>
        <w:tc>
          <w:tcPr>
            <w:tcW w:w="110" w:type="dxa"/>
            <w:tcBorders/>
            <w:shd w:fill="CCEEFF" w:val="clear"/>
            <w:tcMar>
              <w:bottom w:w="0"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Taxes</w:t>
      </w:r>
    </w:p>
    <w:p>
      <w:pPr>
        <w:pStyle w:val="TextBody"/>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an assessment of sales tax payable, including any related interest and penalties, and accrue these estimates on the financial statements. Pursuant to the Wayfair decision, each state enforces sales tax collection at different dates. We collect and remit sales tax in accordance with state regulations. We estimate that as of December 31, 2022, we owed $288,466 in sales taxes, along with penalties and interest. The Company has made significant progress filing historical sales tax returns and target to complete filings for all jurisdictions in 2023.</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financial instruments purchased with original maturities of three months or less to be cash and cash equivalents. The carrying amount of cash and cash equivalents approximates fair value.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and Cost of Goods Sold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Cost is principally determined on a first-in first-out basis. The Company’s costs include the amounts it pays manufacturers for product, tariffs and duties associated with transporting product across national borders, and freight costs associated with transporting the product from its manufacturers to its warehouses.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is comprised of the book value of inventory sold to customers during the reporting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recorded at cost and depreciated or amortized over the estimated useful life of the asset using the straight-line method.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and other current liabilities approximate fair value because of the immediate or short-term maturity of these financial instruments.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Financial Accounting Standards Board (“FASB”) Accounting Standard Codification (“ASC”) Topic 606, Revenue from Contracts with Customers (“ASC Topic 606”). The Company adopted ASC Topic 606 as of January 1, 2019. The standard did not affect the Company’s consolidated financial position, or cash flows. There were no changes to the timing of revenue recognition as a result of the adoption.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Topic 606, Revenue from Contracts with Customers, which provided a five-step model for recognizing revenue from contracts with customers as follows:</w:t>
      </w:r>
    </w:p>
    <w:p>
      <w:pPr>
        <w:pStyle w:val="TextBody"/>
        <w:jc w:val="both"/>
        <w:rPr>
          <w:caps w:val="false"/>
          <w:smallCaps w:val="false"/>
        </w:rPr>
      </w:pPr>
      <w:r>
        <w:rPr>
          <w:caps w:val="false"/>
          <w:smallCaps w:val="false"/>
        </w:rPr>
        <w:t> </w:t>
      </w:r>
    </w:p>
    <w:tbl>
      <w:tblPr>
        <w:tblW w:w="6460" w:type="dxa"/>
        <w:jc w:val="left"/>
        <w:tblInd w:w="0" w:type="dxa"/>
        <w:tblCellMar>
          <w:top w:w="0" w:type="dxa"/>
          <w:left w:w="0" w:type="dxa"/>
          <w:bottom w:w="0" w:type="dxa"/>
          <w:right w:w="0" w:type="dxa"/>
        </w:tblCellMar>
      </w:tblPr>
      <w:tblGrid>
        <w:gridCol w:w="75"/>
        <w:gridCol w:w="170"/>
        <w:gridCol w:w="621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performance obligations are satisfied.</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 from the sale of consumer products. The Company sells its products directly to consumers through online retail channels. The Company considers customer order confirmations to be a contract with the customer. Customer confirmations are executed at the time an order is placed through third-party online channels. 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The customer can return the products within 30 days after the products are delivered and estimated sales returns are calculated based on the expected returns. Based on these considerations, the Company is the principal in this arrangement.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Obligations</w:t>
      </w:r>
      <w:r>
        <w:rPr>
          <w:rFonts w:ascii="Times New Roman;Times;Serif" w:hAnsi="Times New Roman;Times;Serif"/>
          <w:b w:val="false"/>
          <w:i w:val="false"/>
          <w:caps w:val="false"/>
          <w:smallCaps w:val="false"/>
          <w:sz w:val="20"/>
        </w:rPr>
        <w:t>. A performance obligation is a promise in a contract to transfer a distinct good to the customer and is the unit of account in ASC Topic 606. A contract’s transaction price is recognized as revenue when the performance obligation is satisfied. Each of the Company’s contracts have a single distinct performance obligation, which is the promise to transfer individual goods. For consumer product sales, the Company has elected to treat shipping and handling as fulfillment activities, and not a separate performance obligation. The Company bills customers for charges for shipping and handling on certain sales and such charges are recorded as part of net revenue.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Doubtful Accounts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performs on-going evaluations of its customers and maintains an allowance for bad and doubtful receivables.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adoption under ASC Topic 842, Leases, which allows the Company to apply the transition provision at the Company’s adoption date instead of at the earliest comparative period presented in the financial statements. The Company elected the optional practical expedient permitted under the transition guidance which allows the Company to carry forward the historical accounting treatment for existing leases upon adoption.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an assessment of sales tax payable including any related interest and penalties. The Company’s accounting policy is to exclude the tax collected and remitted from revenues and cost of revenues. Pursuant to the Wayfair decision, each state enforces sales tax collection at different dates. The Company collects and remits sales tax in accordance with state regulations. In the past, where the Company has not collected these taxes, the Company has made estimates of amounts owed and accrued these on the financial statements. The Company has made significant progress of filing historical sales tax returns and target to complete filings for all jurisdictions in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2021, the Company, with the stockholders’ consent, elected to be taxed as an “S corporation” under the provisions of the Internal Revenue Code of 1986, as amended (the “Code”), and comparable state income tax law. As an S corporation, the Company was generally not subject to corporate income taxes, and the Company’s net income or loss is reported on the individual tax return of the stockholders of the Company. On July 27, 2021, the Company’s tax status changed to a C corporation. Per ASC 740-10-45-19, when deferred tax accounts are recognized or derecognized as required by paragraphs 740-10-25-32 and 740-10-40-6 due to a change in tax status, the effect of recognizing or derecognizing the deferred tax liability of asset shall be included in income from continuing operations.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complied with state tax code, including California franchise tax. Management has evaluated its tax positions and has concluded that the Company had taken no uncertain tax.</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related party transactions in accordance with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and Currency Translation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functional currency other than the U.S. dollar, the functional currency amounts are translated into U.S. dollars at exchange rates in effect at year-end, with resulting translation gains or losses included within other comprehensive income or loss.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4" w:name="S1_012"/>
      <w:bookmarkEnd w:id="44"/>
      <w:r>
        <w:rPr>
          <w:rFonts w:ascii="Times New Roman;Times;Serif" w:hAnsi="Times New Roman;Times;Serif"/>
          <w:b/>
          <w:i w:val="false"/>
          <w:caps w:val="false"/>
          <w:smallCaps w:val="false"/>
          <w:sz w:val="20"/>
        </w:rPr>
        <w:t>ITEM 7A. QUANTITATIVE AND QUALITATIVE DISCLOSURES ABOUT MARKET RISK</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5" w:name="S1_013"/>
      <w:bookmarkEnd w:id="45"/>
      <w:r>
        <w:rPr>
          <w:rFonts w:ascii="Times New Roman;Times;Serif" w:hAnsi="Times New Roman;Times;Serif"/>
          <w:b/>
          <w:i w:val="false"/>
          <w:caps w:val="false"/>
          <w:smallCaps w:val="false"/>
          <w:sz w:val="20"/>
        </w:rPr>
        <w:t>ITEM 8. FINANCIAL STATEMENTS AND SUPPLEMENTARY DATA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pages F-1 through F-19 comprising a portion of this annual report on Form 10-K.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6" w:name="S1_014"/>
      <w:bookmarkEnd w:id="46"/>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7" w:name="S1_015"/>
      <w:bookmarkEnd w:id="47"/>
      <w:r>
        <w:rPr>
          <w:rFonts w:ascii="Times New Roman;Times;Serif" w:hAnsi="Times New Roman;Times;Serif"/>
          <w:b/>
          <w:i w:val="false"/>
          <w:caps w:val="false"/>
          <w:smallCaps w:val="false"/>
          <w:sz w:val="20"/>
        </w:rPr>
        <w:t>ITEM 9A. CONTROLS AND PROCEDURES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annual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2022, pursuant to Rule 13a-15(b) under the Exchange Act. Based upon that evaluation, our Certifying Officers concluded that, as of December 31, 2022, our disclosure controls and procedures were effective.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under Exchange Act Rules 13a-15(f) and 14d-14(f).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 In addition, projections of any evaluation of effectiveness to future periods are subject to risk that controls become inadequate because of changes in conditions and that the degree of compliance with the policies or procedures may deteriorate.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December 31, 2022. In making the assessment, management used the criteria issued by the Committee of Sponsoring Organizations of the Treadway Commission (COSO – 2013) in Internal Control-Integrated Framework. Based on its assessment, management concluded that, as of December 31, 2022, our Company’s internal control over financial reporting was adequate in material aspects.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8" w:name="S1_016"/>
      <w:bookmarkEnd w:id="48"/>
      <w:r>
        <w:rPr>
          <w:rFonts w:ascii="Times New Roman;Times;Serif" w:hAnsi="Times New Roman;Times;Serif"/>
          <w:b/>
          <w:i w:val="false"/>
          <w:caps w:val="false"/>
          <w:smallCaps w:val="false"/>
          <w:sz w:val="20"/>
        </w:rPr>
        <w:t>ITEM 9B. OTHER INFORMATION</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9" w:name="S1_017"/>
      <w:bookmarkEnd w:id="49"/>
      <w:r>
        <w:rPr>
          <w:rFonts w:ascii="Times New Roman;Times;Serif" w:hAnsi="Times New Roman;Times;Serif"/>
          <w:b/>
          <w:i w:val="false"/>
          <w:caps w:val="false"/>
          <w:smallCaps w:val="false"/>
          <w:sz w:val="20"/>
        </w:rPr>
        <w:t>ITEM 9C. DISCLOSURE REGARDING FOREIGN JURISDICTIONS THAT PREVENT INSPECTIONS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50" w:name="S1_018"/>
      <w:bookmarkEnd w:id="50"/>
      <w:r>
        <w:rPr>
          <w:rFonts w:ascii="Times New Roman;Times;Serif" w:hAnsi="Times New Roman;Times;Serif"/>
          <w:b/>
          <w:i w:val="false"/>
          <w:caps w:val="false"/>
          <w:smallCaps w:val="false"/>
          <w:sz w:val="20"/>
        </w:rPr>
        <w:t>PART III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1" w:name="S1_019"/>
      <w:bookmarkEnd w:id="51"/>
      <w:r>
        <w:rPr>
          <w:rFonts w:ascii="Times New Roman;Times;Serif" w:hAnsi="Times New Roman;Times;Serif"/>
          <w:b/>
          <w:i w:val="false"/>
          <w:caps w:val="false"/>
          <w:smallCaps w:val="false"/>
          <w:sz w:val="20"/>
        </w:rPr>
        <w:t>ITEM 10. DIRECTORS, EXECUTIVE OFFICERS AND CORPORATE GOVERNANCE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and Directors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and ages of the members of our Board of Directors and our executive officers and the positions held by each. Each director’s term continues until his or her successor is elected or qualified at the next annual meeting, unless such director earlier resigns or is removed.</w:t>
      </w:r>
    </w:p>
    <w:p>
      <w:pPr>
        <w:pStyle w:val="TextBody"/>
        <w:rPr>
          <w:caps w:val="false"/>
          <w:smallCaps w:val="false"/>
        </w:rPr>
      </w:pPr>
      <w:r>
        <w:rPr>
          <w:caps w:val="false"/>
          <w:smallCaps w:val="false"/>
        </w:rPr>
        <w:t> </w:t>
      </w:r>
    </w:p>
    <w:tbl>
      <w:tblPr>
        <w:tblW w:w="9210" w:type="dxa"/>
        <w:jc w:val="left"/>
        <w:tblInd w:w="0" w:type="dxa"/>
        <w:tblCellMar>
          <w:top w:w="0" w:type="dxa"/>
          <w:left w:w="0" w:type="dxa"/>
          <w:bottom w:w="28" w:type="dxa"/>
          <w:right w:w="0" w:type="dxa"/>
        </w:tblCellMar>
      </w:tblPr>
      <w:tblGrid>
        <w:gridCol w:w="1970"/>
        <w:gridCol w:w="60"/>
        <w:gridCol w:w="350"/>
        <w:gridCol w:w="60"/>
        <w:gridCol w:w="6770"/>
      </w:tblGrid>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Chief Executive Officer and Interim Chief Financial Officer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 Kuen (Maggie) Yu</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Branch</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Lenner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Minghui (Alan) Gao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Hilary (</w:t>
            </w:r>
            <w:r>
              <w:rPr>
                <w:rFonts w:ascii="Times New Roman;Times;Serif" w:hAnsi="Times New Roman;Times;Serif"/>
                <w:b w:val="false"/>
                <w:i w:val="false"/>
                <w:caps w:val="false"/>
                <w:smallCaps w:val="false"/>
                <w:sz w:val="20"/>
                <w:highlight w:val="white"/>
              </w:rPr>
              <w:t xml:space="preserve">Hui-Chong) </w:t>
            </w:r>
            <w:r>
              <w:rPr>
                <w:rFonts w:ascii="Times New Roman;Times;Serif" w:hAnsi="Times New Roman;Times;Serif"/>
                <w:b w:val="false"/>
                <w:i w:val="false"/>
                <w:caps w:val="false"/>
                <w:smallCaps w:val="false"/>
                <w:sz w:val="20"/>
              </w:rPr>
              <w:t>Bui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concerning our directors and executive officers listed above is set forth below.</w:t>
      </w:r>
    </w:p>
    <w:p>
      <w:pPr>
        <w:pStyle w:val="TextBody"/>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 Lai.</w:t>
      </w:r>
      <w:r>
        <w:rPr>
          <w:rFonts w:ascii="Times New Roman;Times;Serif" w:hAnsi="Times New Roman;Times;Serif"/>
          <w:b w:val="false"/>
          <w:i w:val="false"/>
          <w:caps w:val="false"/>
          <w:smallCaps w:val="false"/>
          <w:sz w:val="20"/>
        </w:rPr>
        <w:t xml:space="preserve"> Mr. Lai has served as our Chief Executive Officer and been a member of our Board of Directors since June 2013 and our Chairman of 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reporting companies.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Sau Kuen (Maggie) Yu.</w:t>
      </w:r>
      <w:r>
        <w:rPr>
          <w:rFonts w:ascii="Times New Roman;Times;Serif" w:hAnsi="Times New Roman;Times;Serif"/>
          <w:b w:val="false"/>
          <w:i w:val="false"/>
          <w:caps w:val="false"/>
          <w:smallCaps w:val="false"/>
          <w:sz w:val="20"/>
        </w:rPr>
        <w:t xml:space="preserve"> Ms. Yu has served as our Senior Vice President and has been a member of our Board of Directors since June 2013. Since graduating from University of California, San Diego until June 2013, Ms. Yu has no employment history. Ms. Yu graduated with a Bachelor Degree in Computer Science from University of California, San Diego in 2004. Ms. Yu does not hold, and has not previously held, any directorships in any reporting companies.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Douglas Branch. </w:t>
      </w:r>
      <w:r>
        <w:rPr>
          <w:rFonts w:ascii="Times New Roman;Times;Serif" w:hAnsi="Times New Roman;Times;Serif"/>
          <w:b w:val="false"/>
          <w:i w:val="false"/>
          <w:caps w:val="false"/>
          <w:smallCaps w:val="false"/>
          <w:sz w:val="20"/>
        </w:rPr>
        <w:t>Mr. Branch has been an independent member of our Board of Directors since June 1, 2021. Since 1991, Mr. Branch has served in a number of executive positions (the latest position as Executive Vice President, US Sales) at Gund, a division of Spin Master Inc. From 2016 through 2018, he served as the Executive Vice President, US Sales at Enesco. Mr. Branch graduated with a Bachelor of Arts Degree in marketing from University of Massachusetts. Mr. Branch does not hold, and has not previously held, any directorships in any reporting companies.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Lenner.</w:t>
      </w:r>
      <w:r>
        <w:rPr>
          <w:rFonts w:ascii="Times New Roman;Times;Serif" w:hAnsi="Times New Roman;Times;Serif"/>
          <w:b w:val="false"/>
          <w:i w:val="false"/>
          <w:caps w:val="false"/>
          <w:smallCaps w:val="false"/>
          <w:sz w:val="20"/>
        </w:rPr>
        <w:t xml:space="preserve"> Mr. Lenner has been an independent member of our Board of Directors since June 1, 2021. Since May 2018, Mr. Lenner has served as Vice President, Software Engineering, Disney Streaming Services at The Walt Disney Company. From August 2017 through May 2018, he served as Vice President, Software Engineering at BAMTECH Media. From July 2014 through August 2017, Mr. Lenner served as Vice President, Software Engineering and Senior Director, Software Engineering at Major League Baseball Advanced Media. From February 2011 through June 2014, he served as the Vice President, Engineering at H. Bloom. Mr. Lenner graduated with a Bachelor of Arts Degree in Physics from Binghamton University and a Masters of Science Degree in Computer Science from Columbia University. Mr. Lenner does not hold, and has not previously held, any directorships in any reporting companies.</w:t>
      </w:r>
    </w:p>
    <w:p>
      <w:pPr>
        <w:pStyle w:val="TextBody"/>
        <w:ind w:left="0" w:right="0" w:firstLine="55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55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Minghui (Alan) Gao.</w:t>
      </w:r>
      <w:r>
        <w:rPr>
          <w:rFonts w:ascii="Times New Roman;Times;Serif" w:hAnsi="Times New Roman;Times;Serif"/>
          <w:b w:val="false"/>
          <w:i w:val="false"/>
          <w:caps w:val="false"/>
          <w:smallCaps w:val="false"/>
          <w:sz w:val="20"/>
        </w:rPr>
        <w:t xml:space="preserve"> Mr. Gao has been an independent member of our Board of Directors since October 6, 2021. Since October 2021, Mr. Gao has served as the Chief Technology Officer of Cue Health, Inc. From January 2018 to October 2021, he served as the Chief Technology Officer of PillPack (which was acquired by Amazon Pharmacy). From October 2016 to January 2018, Mr. Gao served as the Director of Prime Video at Amazon.com. From September 2013 to October 2016, he served as Engineering Director of Seller Services at Amazon.com. From September 2011 to September 2013, Mr. Gao served as the Chief Technology Officer and Senior Vice President of Product and Engineering at Xiu.com, an e-commerce company in China. From November 2008 through June 2011, he served as Engineering Director at Amazon.cn in China. From October 2007 to November 2008, Mr. Gao served as Senior Manager, Software Development at Amazon.com. From November 2006 to October 2007, he served as a Software Development Manager at Amazon.com. From April 2001 to November 2006, Mr. Gao served as Software Design Engineer and Development Lead. Mr. Gao graduated with a Masters Degree in Computer Science from Baylor university in 1999. Mr. Gao does not hold, and has not previously held, any directorships in any reporting companies.</w:t>
      </w:r>
    </w:p>
    <w:p>
      <w:pPr>
        <w:pStyle w:val="TextBody"/>
        <w:ind w:left="0" w:right="0" w:firstLine="55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Hilary (</w:t>
      </w:r>
      <w:r>
        <w:rPr>
          <w:rFonts w:ascii="Times New Roman;Times;Serif" w:hAnsi="Times New Roman;Times;Serif"/>
          <w:b/>
          <w:i/>
          <w:caps w:val="false"/>
          <w:smallCaps w:val="false"/>
          <w:sz w:val="20"/>
          <w:highlight w:val="white"/>
        </w:rPr>
        <w:t xml:space="preserve">Hui-Chong) </w:t>
      </w:r>
      <w:r>
        <w:rPr>
          <w:rFonts w:ascii="Times New Roman;Times;Serif" w:hAnsi="Times New Roman;Times;Serif"/>
          <w:b/>
          <w:i/>
          <w:caps w:val="false"/>
          <w:smallCaps w:val="false"/>
          <w:sz w:val="20"/>
        </w:rPr>
        <w:t>Bui.</w:t>
      </w:r>
      <w:r>
        <w:rPr>
          <w:rFonts w:ascii="Times New Roman;Times;Serif" w:hAnsi="Times New Roman;Times;Serif"/>
          <w:b w:val="false"/>
          <w:i w:val="false"/>
          <w:caps w:val="false"/>
          <w:smallCaps w:val="false"/>
          <w:sz w:val="20"/>
        </w:rPr>
        <w:t xml:space="preserve"> Ms. Bui has been an independent member of our Board of Directors since February 20, 2023. Since November 2022, Ms. Bui has served as the Senior Finance Manager–North America and US Retail FP&amp;A of Starbucks Corporation. She joined Starbucks Corporation in 2015 and has served various positions including Finance Manager and Business Analysis Manager of different divisions before being promoted to the current position. From 2011 to 2015, Ms. Bui served as Senior Finance Analyst and Finance Analyst in different divisions of General Mills, Inc. From 2007 to 2011, Ms. Bui served as Senior Assurance Associate of PricewaterhouseCoopers, LLP. Ms. Bui graduated with a bachelor’s degree of Accounting from the University of Minnesota in 2007. Ms. Bui does not hold, and has not previously held, any directorships in any reporting companies.</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 our Chairman of the Board, Chief Executive Officer and Interim Chief Financial Officer, and Maggie Yu, our Senior Vice President and member of our Board of Directors, are married.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executive officer, member of the board of directors or control person of our Company has been involved in any legal proceeding listed in Item 401(f) of Regulation S-K in the past 10 years.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Director Independence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Nasdaq-listed company, we are required to comply with Nasdaq’s continued listing standards.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Company and Director Independence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33,311,576 shares of the Company’s common stock, representing approximately 95% of the voting power of the Company’s outstanding common stock. As a result, the Company is a “controlled company” under the Nasdaq corporate governance standards. As a controlled company, we do not have to comply with certain corporate governance requirements under the Nasdaq rules, including the following: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Board of Directors to consist of “independent directors” as defined by the applicable Nasdaq rules and regulations;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Company’s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tc>
      </w:tr>
    </w:tbl>
    <w:p>
      <w:pPr>
        <w:pStyle w:val="TextBody"/>
        <w:jc w:val="center"/>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avail itself of each of these exemptions. More specifically, a majority of the Company’s board of directors will not consist of independent directors and the Company will not have a compensation committee or a nominating and corporate governance committee. Therefore, for as long as the Company remains a “controlled company,” the Company will not have the same protections afforded to stockholders of companies that are subject to all of these corporate governance requirements. If at any time the Company ceases to be a “controlled company” under the Nasdaq rules, the Company’s Board of Directors will take all action necessary to comply with the Nasdaq corporate governance rules, including establishing certain committees composed entirely of independent directors, subject to a permitted “phase-in”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Company’s status as a controlled company, the Company will remain subject to the Nasdaq corporate governance standard that requires the Company to have an audit committee with at least three independent directors as well as composed entirely of independent directors. As a result, the Company was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affirmatively determined that two of its six directors (Sam Lai and Maggie Yu) are non-independent directors of the Company and four of its six directors (Douglas Branch, Michael Lenner, Minghui (Alan) Gao, and Hilary (</w:t>
      </w:r>
      <w:r>
        <w:rPr>
          <w:rFonts w:ascii="Times New Roman;Times;Serif" w:hAnsi="Times New Roman;Times;Serif"/>
          <w:b w:val="false"/>
          <w:i w:val="false"/>
          <w:caps w:val="false"/>
          <w:smallCaps w:val="false"/>
          <w:color w:val="242424"/>
          <w:sz w:val="20"/>
        </w:rPr>
        <w:t xml:space="preserve">Hui-Chong) </w:t>
      </w:r>
      <w:r>
        <w:rPr>
          <w:rFonts w:ascii="Times New Roman;Times;Serif" w:hAnsi="Times New Roman;Times;Serif"/>
          <w:b w:val="false"/>
          <w:i w:val="false"/>
          <w:caps w:val="false"/>
          <w:smallCaps w:val="false"/>
          <w:sz w:val="20"/>
        </w:rPr>
        <w:t>Bui) are independent directors of the Company. The Company’s audit committee consists of the four independent directors: Messrs. Branch, Lenner, Gao, and Ms. Bui Ms. Bui is the chair of the audit committee and qualifies as an audit committee financial expert under SEC rules and as a financially sophisticated audit committee member under the Nasdaq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Board’s Role in Risk Oversight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separated the positions of Chairman of the Board and Chief Executive Officer. Mr. Lai has served as our Chairman of the Board of Directors since April 2021 and Chief Executive Officer since June 2013. We believe that combining the positions of Chairman and Chief Executive Officer allows for focused leadership of our organization which benefits us in our relationships with investors, customers, suppliers, employees and other constituencies. We believe that consolidating the leadership of the Company under Mr. Lai is the appropriate leadership structure for our Company and that any risks inherent in that structure are balanced by the oversight of our other independent directors on our Board. However, no single leadership model is right for all companies and at all times. The Board recognizes that depending on the circumstances, other leadership models, such as the appointment of a lead independent director, might be appropriate. Accordingly, the Board may periodically review its leadership structure. In addition, the Board holds executive sessions in which only independent directors are present.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generally responsible for the oversight of corporate risk in its review and deliberations relating to our activities. Our principal source of risk falls into two categories, financial and product commercialization. The audit committee oversees management of financial risks; our Board regularly reviews information regarding our cash position, liquidity and operations, as well as the risks associated with each. The Board regularly reviews plans, results and potential risks related to our business. The Board is also expected to oversee risk management as it relates to our compensation plans, policies and practices for all employees including executives and directors, particularly whether our compensation programs may create incentives for our employees to take excessive or inappropriate risks which could have a material adverse effect on the Company.</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50</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which consists of four independent directors: Messrs. Branch, Lenner, Gao, and Ms. Bui. Ms. Bui is the chair of the audit committee. and qualifies as an “audit committee financial expert.” Our audit committee adopted a written charter, a copy of which is posted on the Corporate Governance section of our website, at www.hourloop.com.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authorized to:</w:t>
      </w:r>
    </w:p>
    <w:p>
      <w:pPr>
        <w:pStyle w:val="TextBody"/>
        <w:spacing w:before="0" w:after="0"/>
        <w:ind w:left="0" w:right="0" w:hanging="0"/>
        <w:rPr>
          <w:caps w:val="false"/>
          <w:smallCaps w:val="false"/>
        </w:rPr>
      </w:pPr>
      <w:r>
        <w:rPr>
          <w:caps w:val="false"/>
          <w:smallCaps w:val="false"/>
        </w:rPr>
        <w:t> </w:t>
      </w:r>
    </w:p>
    <w:tbl>
      <w:tblPr>
        <w:tblW w:w="9250" w:type="dxa"/>
        <w:jc w:val="left"/>
        <w:tblInd w:w="0" w:type="dxa"/>
        <w:tblCellMar>
          <w:top w:w="0" w:type="dxa"/>
          <w:left w:w="0" w:type="dxa"/>
          <w:bottom w:w="0" w:type="dxa"/>
          <w:right w:w="0" w:type="dxa"/>
        </w:tblCellMar>
      </w:tblPr>
      <w:tblGrid>
        <w:gridCol w:w="75"/>
        <w:gridCol w:w="170"/>
        <w:gridCol w:w="900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and retain the independent auditors to conduct the annual audit of our financial statements;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proposed scope and results of the audit;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pre-approve audit and non-audit fees and services;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accounting and financial controls with the independent auditors and our financial and accounting staff;</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transactions between us and our directors, officers and affiliates;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and prevent prohibited non-audit services;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procedures for complaints received by us regarding accounting matters;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internal audit functions, if 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“controlled company” within the meaning of the Nasdaq corporate governance standards, we are not required to have, and do not currently have, a 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are no longer a “controlled company” within the meaning of the Nasdaq corporate governance standards, we will be required to establish a compensation committee. We anticipate that such a compensation committee would consist of three directors who will be “independent” under the rules of the SEC, subject to the permitted “phase-in” period pursuant to Nasdaq rules.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committee would: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determine the compensation arrangements for management;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review general compensation policies with the objective to attract and retain superior talent, to reward individual performance and to achieve our financial goals;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 our incentive compensation and benefit plans and purchase plans;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Board of Directors and management;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independence of any compensation advisers.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formation of a compensation committee, we would expect to adopt a compensation committee charter defining the committee’s primary duties in a manner consistent with the rules of the SEC and Nasdaq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are a “controlled company” within the meaning of the Nasdaq corporate governance standards, we are not required to have, and do not currently have, a nominating and corporate governance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are no longer a “controlled company” within the meaning of the corporate governance standards of Nasdaq, we will be required to establish a nominating and corporate governance committee. We anticipate that such a nominating and corporate governance committee would consist of three directors who will be “independent” under the rules of the SEC, subject to the permitted “phase-in” period pursuant to Nasdaq rules.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nominating and corporate governance committee, among other things, would include:</w:t>
      </w:r>
    </w:p>
    <w:p>
      <w:pPr>
        <w:pStyle w:val="TextBody"/>
        <w:spacing w:before="0" w:after="0"/>
        <w:ind w:left="0" w:right="0" w:hanging="0"/>
        <w:jc w:val="both"/>
        <w:rPr>
          <w:caps w:val="false"/>
          <w:smallCaps w:val="false"/>
        </w:rPr>
      </w:pPr>
      <w:r>
        <w:rPr>
          <w:caps w:val="false"/>
          <w:smallCaps w:val="false"/>
        </w:rPr>
        <w:t> </w:t>
      </w:r>
    </w:p>
    <w:tbl>
      <w:tblPr>
        <w:tblW w:w="7450" w:type="dxa"/>
        <w:jc w:val="left"/>
        <w:tblInd w:w="0" w:type="dxa"/>
        <w:tblCellMar>
          <w:top w:w="0" w:type="dxa"/>
          <w:left w:w="0" w:type="dxa"/>
          <w:bottom w:w="0" w:type="dxa"/>
          <w:right w:w="0" w:type="dxa"/>
        </w:tblCellMar>
      </w:tblPr>
      <w:tblGrid>
        <w:gridCol w:w="75"/>
        <w:gridCol w:w="170"/>
        <w:gridCol w:w="720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individuals qualified to become board members and recommending director;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nominees and board members for committee membership;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our board corporate governance guidelines;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determine the compensation arrangements for directors;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evaluation of our board of directors and its committees and management.</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51</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formation of a nominating and corporate governance committee, we would expect to adopt a nominating and corporate governance committee charter defining the committee’s primary duties in a manner consistent with the rules of the SEC and Nasdaq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 Board of Directors recommends candidates for nomination for election at the annual meeting of the stockholders. 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“controlled company” within the meaning of Nasdaq corporate governance standards, we are not required to have, and do not currently have, a compensation committee. None of our executive officers serves on the board of directors or compensation committee of a company that has an executive officer that serves on our board or compensation committee. No member of our board is an executive officer of a company in which one of our executive officers serves as a member of the board of directors or compensation committee of that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ind w:left="0" w:right="0" w:firstLine="55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Ethics and Business Conduct that applies to all of its directors, officers (including our principal executive officer, principal financial officer, principal accounting officer or controller, and any person performing similar functions) and employees. The Code of Ethics and Business Conduct is available on our website at www.hourloop.com.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except to the extent such exemption from liability or limitation thereof is not permitted by the Delaware General Corporation Law (“DGCL”).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also permits us to maintain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provisions and the insurance are necessary to attract and retain talented and experienced officers and directors.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2" w:name="AR_028"/>
      <w:bookmarkEnd w:id="52"/>
      <w:r>
        <w:rPr>
          <w:rFonts w:ascii="Times New Roman;Times;Serif" w:hAnsi="Times New Roman;Times;Serif"/>
          <w:b/>
          <w:i w:val="false"/>
          <w:caps w:val="false"/>
          <w:smallCaps w:val="false"/>
          <w:sz w:val="20"/>
        </w:rPr>
        <w:t>ITEM 11. EXECUTIVE COMPENSATION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Summary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provides information regarding the compensation earned during our fiscal years ended December 31, 2022 and 2021 to certain of our executive officers, who we collectively refer to as our “named executive officers”, or “NEOs”.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64"/>
        <w:gridCol w:w="60"/>
        <w:gridCol w:w="60"/>
        <w:gridCol w:w="440"/>
        <w:gridCol w:w="60"/>
        <w:gridCol w:w="60"/>
        <w:gridCol w:w="60"/>
        <w:gridCol w:w="697"/>
        <w:gridCol w:w="60"/>
        <w:gridCol w:w="60"/>
        <w:gridCol w:w="60"/>
        <w:gridCol w:w="696"/>
        <w:gridCol w:w="60"/>
        <w:gridCol w:w="60"/>
        <w:gridCol w:w="285"/>
        <w:gridCol w:w="380"/>
        <w:gridCol w:w="60"/>
        <w:gridCol w:w="60"/>
        <w:gridCol w:w="153"/>
        <w:gridCol w:w="512"/>
        <w:gridCol w:w="60"/>
        <w:gridCol w:w="60"/>
        <w:gridCol w:w="231"/>
        <w:gridCol w:w="1004"/>
        <w:gridCol w:w="60"/>
        <w:gridCol w:w="60"/>
        <w:gridCol w:w="231"/>
        <w:gridCol w:w="1004"/>
        <w:gridCol w:w="60"/>
        <w:gridCol w:w="60"/>
        <w:gridCol w:w="114"/>
        <w:gridCol w:w="1121"/>
        <w:gridCol w:w="186"/>
        <w:gridCol w:w="60"/>
        <w:gridCol w:w="125"/>
        <w:gridCol w:w="845"/>
        <w:gridCol w:w="77"/>
      </w:tblGrid>
      <w:tr>
        <w:trPr/>
        <w:tc>
          <w:tcPr>
            <w:tcW w:w="964"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Position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0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6"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6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w:t>
              <w:b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6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w:t>
              <w:b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br/>
              <w:t>Equity</w:t>
              <w:br/>
              <w:t>Incentive</w:t>
              <w:br/>
              <w:t>Plan</w:t>
              <w:br/>
              <w:t>Compensation</w:t>
              <w:b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br/>
              <w:t>qualified</w:t>
              <w:br/>
              <w:t>Deferred</w:t>
              <w:br/>
              <w:t>Compensation</w:t>
              <w:br/>
              <w:t>Earnings</w:t>
              <w:b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w:t>
              <w:br/>
              <w:t>Other</w:t>
              <w:br/>
              <w:t>Compensation</w:t>
              <w:br/>
              <w:t>($)</w:t>
            </w:r>
          </w:p>
        </w:tc>
        <w:tc>
          <w:tcPr>
            <w:tcW w:w="18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77"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9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2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14,678</w:t>
            </w:r>
          </w:p>
        </w:tc>
        <w:tc>
          <w:tcPr>
            <w:tcW w:w="18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614,678</w:t>
            </w:r>
          </w:p>
        </w:tc>
        <w:tc>
          <w:tcPr>
            <w:tcW w:w="7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 (1)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2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18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653,237</w:t>
            </w:r>
          </w:p>
        </w:tc>
        <w:tc>
          <w:tcPr>
            <w:tcW w:w="7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64"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2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7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Maggie Yu</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2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15,292</w:t>
            </w:r>
          </w:p>
        </w:tc>
        <w:tc>
          <w:tcPr>
            <w:tcW w:w="18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1,015,292</w:t>
            </w:r>
          </w:p>
        </w:tc>
        <w:tc>
          <w:tcPr>
            <w:tcW w:w="7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318,461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2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18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821,698</w:t>
            </w:r>
          </w:p>
        </w:tc>
        <w:tc>
          <w:tcPr>
            <w:tcW w:w="7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 has served as our Chief Executive Officer since June 2013 and as our Interim Chief Financial Officer since March 29, 2022.</w:t>
            </w:r>
          </w:p>
        </w:tc>
      </w:tr>
      <w:tr>
        <w:trPr/>
        <w:tc>
          <w:tcPr>
            <w:tcW w:w="255" w:type="dxa"/>
            <w:tcBorders/>
            <w:shd w:fill="auto" w:val="clear"/>
            <w:vAlign w:val="center"/>
          </w:tcPr>
          <w:p>
            <w:pPr>
              <w:pStyle w:val="TableContents"/>
              <w:spacing w:before="0" w:after="283"/>
              <w:rPr>
                <w:caps w:val="false"/>
                <w:smallCaps w:val="false"/>
              </w:rPr>
            </w:pPr>
            <w:r>
              <w:rPr>
                <w:caps w:val="false"/>
                <w:smallCaps w:val="false"/>
              </w:rPr>
              <w:t> </w:t>
            </w:r>
          </w:p>
        </w:tc>
        <w:tc>
          <w:tcPr>
            <w:tcW w:w="995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healthcare benefits and 401(k) of $6,553.36 and 8,124.99, respectively, for the fiscal year ended December 31, 2022.</w:t>
            </w:r>
          </w:p>
        </w:tc>
      </w:tr>
      <w:tr>
        <w:trPr/>
        <w:tc>
          <w:tcPr>
            <w:tcW w:w="255" w:type="dxa"/>
            <w:tcBorders/>
            <w:shd w:fill="auto" w:val="clear"/>
            <w:vAlign w:val="center"/>
          </w:tcPr>
          <w:p>
            <w:pPr>
              <w:pStyle w:val="TableContents"/>
              <w:spacing w:before="0" w:after="283"/>
              <w:rPr>
                <w:caps w:val="false"/>
                <w:smallCaps w:val="false"/>
              </w:rPr>
            </w:pPr>
            <w:r>
              <w:rPr>
                <w:caps w:val="false"/>
                <w:smallCaps w:val="false"/>
              </w:rPr>
              <w:t> </w:t>
            </w:r>
          </w:p>
        </w:tc>
        <w:tc>
          <w:tcPr>
            <w:tcW w:w="995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healthcare benefits and 401(k) of $7,979.91 and 7,312.50, respectively, for the fiscal year ended December 31, 2022.</w:t>
            </w:r>
          </w:p>
        </w:tc>
      </w:tr>
      <w:tr>
        <w:trPr/>
        <w:tc>
          <w:tcPr>
            <w:tcW w:w="255" w:type="dxa"/>
            <w:tcBorders/>
            <w:shd w:fill="auto" w:val="clear"/>
            <w:vAlign w:val="center"/>
          </w:tcPr>
          <w:p>
            <w:pPr>
              <w:pStyle w:val="TableContents"/>
              <w:spacing w:before="0" w:after="283"/>
              <w:rPr>
                <w:caps w:val="false"/>
                <w:smallCaps w:val="false"/>
              </w:rPr>
            </w:pPr>
            <w:r>
              <w:rPr>
                <w:caps w:val="false"/>
                <w:smallCaps w:val="false"/>
              </w:rPr>
              <w:t> </w:t>
            </w:r>
          </w:p>
        </w:tc>
        <w:tc>
          <w:tcPr>
            <w:tcW w:w="995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 healthcare benefits of $3,237 for the fiscal year ended December 31, 2021.</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2021, the Company entered into an Executive Employment Agreement with each of Mr. Lai and Ms. Yu. Mr. Lai’s agreement provides that he will serve as the Chief Executive Officer of the Company and Ms. Yu’s agreement provides that she will serve as the Senior Vice President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employment agreements has a three-year term, which automatically extends for additional terms of one year each unless either the Company or the applicable executive provides notice to the other party of their desire to not so renew term. Each of the employment agreements are “at will,” meaning that either the executive or the Company may terminate the executive’s employment at any time and for any reason, subject to certain payments and other actions as set forth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Lai’s agreement provided for an annual base salary of $500,000, and Ms. Yu’s agreement provided for an annual base salary of $450,000. Each of the base salaries may be subject to annual adjustments as determined in the discretion of the Board. Pursuant to their agreements, on December 31, 2021, each of Mr. Lai and Ms. Yu were also entitled to receive a guaranteed bonus of $50,000, subject to the applicable agreement being in effect at that time. Additionally, pursuant to their agreements, Mr. Lai and Ms. Yu were entitled to each receive a guaranteed bonus of $100,000 on December 31, 2022, subject to the applicable agreement being in effect at that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Lai’s agreement provides that, for the Company’s 2021 fiscal year, (1) if the net profits of the Company for the 2021 fiscal year equals at least 175% of the net profits of the Company for the 2020 fiscal year, excluding any costs of the Company related to the IPO, in each case as determined by the Board, Mr. Lai is entitled to receive a bonus of 50% of the base salary as in effect as of the last business day of the 2021 fiscal year; and (2) if the net profits of the Company for the 2021 fiscal year equals at least 200% of the net profits of the Company for the 2020 fiscal year, excluding any costs of the Company related to the IPO, in each case as determined by the Board, Mr. Lai is entitled to receive an additional bonus of 50% of the Base Salary as in effect as of the last business day of the 2021 fiscal year.</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53</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2022, the Company entered into Addendum No. 1 to Mr. Lai’s agreement, pursuant to which Mr. Lai’s 2022 bonus targets and payments were set as follows: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to at least $7,000,000 during the 2022 fiscal year, Mr. Lai will receive a bonus equal to 50% of base salary.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to at least $8,500,000 during the 2022 fiscal year, Mr. Lai will receive a bonus equal to 100% of base salary.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 did not meet the above conditions for the 2022 fiscal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Yu’s agreement provides that, for the Company’s 2021 fiscal year, (1) if Ms. Yu successfully launches the Company’s Vendor Acquisition Team, as determined by the Board, Ms. Yu will be entitled to receive a bonus of 50% of the base salary as in effect as of the last business day of the 2021 fiscal year; and (2) if Ms. Yu acquires 50 or more new vendors for the Company, as determined by the Board, Ms. Yu will be entitled to receive a bonus of 50% of the base salary as in effect as of the last business day of the 2021 fiscal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2022, the Company entered into Addendum No. 1 to Ms. Yu’s agreement, pursuant to which Ms. Yu’s 2022 bonus targets and payments were set as follows: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acquires at least 75 but fewer than 100 new vendors during the 2022 fiscal year, Ms. Yu will receive a bonus equal to 50% of base salary.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acquires 100 or more new vendors during the 2022 fiscal year, Ms. Yu will receive a bonus equal to 100% of base salary.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the satisfaction of the above conditions for the 2022 fiscal year as the Company acquired more than 600 new vendors during 2022. Ms. Yu received a bonus amount of 100% of her base salary.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Lai’s and Ms. Yu’s agreements provides that if at the Company’s request the executive attends any trade shows, events, or meetings which are independent of the executive’s responsibility under the applicable agreement, the Company will pay the executive $1,000 in cash per full day for such attendance or $500 in cash for a half day.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Lai’s and Ms. Yu’s agreements provides that at the end of each calendar quarter during the term, the Company will issue to the applicable executive a number of shares of common stock having a fair market value of $3,000 as of such date (with any partial quarter being pro-rated). The market value of the shares is determined as follows: (a) if the common stock is then listed for trading on the OTC Markets or a United States national securities exchange (as applicable, the “Trading Market”), the daily volume weighted average closing price of the common stock during the 20 trading day period immediately prior to the calculation date, (b) if the common stock is not then listed or quoted for trading on a Trading Market, and if prices for the common stock are then reported in the “Pink Sheets” published by OTC Markets Group, Inc., the most recent bid price per share of the common stock so reported, or (c) in all other cases, the fair market value of a share of common stock as is determined in good faith by the Board, without the involvement of the executive if the executive is then serving on the Board, after taking into consideration factors it deems appropriate. A “Trading Day” is any day on which the Trading Market is generally open for business and on which the common stock is then traded.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forgoing, the shares issuable to Mr. Lai and Ms. Yu with respect to the period from the execution of their agreements to December 31, 2021 will be determined, and will be issued, on January 3, 2022, based on the market value as determined on December 31, 2021. IPO price at $4 per share was used as the market value.</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54</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employment agreements provides that, on the last business day prior to the commencement of the Company’s first firm-commitment underwritten initial public offering of common stock pursuant to a registration statement filed under the Securities Act (the “IPO”), which condition will be satisfied by this offering, and subject to the applicable agreement not having expired or having been terminated as of such time, the Company will issue to the applicable executive an option to acquire shares of common stock. This will be an option to acquire 25,000 shares of common stock. These options will vest in four equal annual installments, subject to earlier acceleration and forfeiture as set forth below and in the applicable employment agreement and in the option agreement, if and when signed. The exercise price per share will be equal to the offering price per share of common stock in the IPO. On January 6, 2022, the Board granted Mr. Lai and Ms. Yu an option to purchase 25,000 shares of the Company’s common stock, respectively. The option vests in four equal annual installments, with the first installment vesting on the first anniversary of the grant.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Lai’s and Ms. Yu’s agreements each provides that they will be entitled to fringe benefits consistent with the practices of the Company, and to the extent the Company provides similar benefits to the Company’s executive officers; that the Company will reimburse each of them for all reasonable and necessary out-of-pocket business, entertainment and travel expenses incurred in connection with the performance of their duties; that they are entitled to a number of vacation days as generally provided to other executive officers of the Company from time to time; and that they are each, together with their spouses and legal dependents, entitled to participate equally in the health, dental and other benefit plans, which are available to senior managers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Lai’s and Ms. Yu’s agreements provide for different results and payments on termination, based on whether the applicable agreement was terminated by the Company with or without “Cause”, or by the applicable executive with or without “Good Reason”.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their agreements, “Cause” means any of the following: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violation of any material written rule or policy of the Company for which violation any employee may be terminated pursuant to the written policies of the Company reasonably applicable to an executive employee;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misconduct by the executive to the material detriment of the Company;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conviction (by a court of competent jurisdiction, not subject to further appeal) of, or pleading guilty to, a felony;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gross negligence in the performance of their duties and responsibilities to the Company as described in the applicable agreement;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material failure to perform their duties and responsibilities to the Company as described in the agreement (other than any such failure resulting from the their incapacity due to physical or mental illness or any such failure subsequent to the executive being delivered a notice of termination without Cause by the Company or delivering a notice of termination for Good Reason to the Company), in either case after written notice from the Board (in the case of Mr. Lai) or from the Chief Executive Officer (in the case of Ms. Yu), which specifies the nature of such material failure and the executive’s failure to cure such material failure within 10 days following receipt of such notice.</w:t>
            </w:r>
          </w:p>
        </w:tc>
      </w:tr>
    </w:tbl>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their agreements, “Good Reason” means any of the following:</w:t>
      </w:r>
    </w:p>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diminution by the Company of compensation and benefits (taken as a whole) provided to the executive;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base salary or target or maximum bonus, other than as part of an across-the-board reduction in salaries of management personnel;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relocation of the executive’s principal executive office to a location more than 50 miles further from the executive’s principal executive office immediately prior to such relocation;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breach by the Company of any of the terms and conditions of the applicable employment agreement which the Company fails to correct within 10 days after the Company receives written notice from the executive of such violation.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terminates the applicable agreement for “Cause”, or the applicable executive terminates their agreement without “Good Reason”, then the Company will pay to the applicable executive any unpaid base salary and benefits then owed or accrued, and any unreimbursed expenses, will issue to the applicable executive the shares as described above (i.e., the $3,000 of value of shares per calendar quarter) which have accrued as of such date; and any unvested portion of any equity granted to the applicable executive will be forfeited.</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55</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terminates the applicable agreement without “Cause”, or the applicable executive terminates their agreement for “Good Reason”, in addition to the payments and issuances above, the Company will pay to the applicable executive, in one lump sum, an amount equal to the base salary that they would have been paid for the remainder of the initial 3-year term (if such termination occurs during that initial term) or the one year renewal term (if such termination occurs during a renewal term), as applicable, and any equity grant already made to the executive shall, to the extent not already vested, be deemed automatically vested.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their agreements, in the event of Mr. Lai’s or Ms. Yu’s death or total disability, the applicable agreement will terminate on the date of death or total disability and the Company will shall pay to the applicable executive (or their estate) any unpaid base salary and benefits then owed or accrued and any unreimbursed expenses for which the Company has agreed to reimburse the applicable executive, plus a pro-rata bonus for the year of termination based on the executive’s target bonus for such year and the portion of such year in which the executive was employed through the date of such termination; and any unvested portion of any equity granted to the applicable executive will be forfeited as of the termination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determined that any payment or benefit provided to either Mr. Lai or Ms. Yu under their respective agreements would constitute an “excess parachute payment” within the meaning of section 280G of the Code, such that the payment would be subject to an excise tax under section 4999 of the Code (the “Excise Tax”), the Company will pay to the applicable executive an additional amount (the “Gross-Up Payment”) such that the net amount of the Gross-Up Payment retained by the applicable executive after the payment of any Excise Tax and any federal, state and local income and employment tax on the Gross-Up Payment, will be equal to the Excise Tax due on the payment and any interest and penalties in respect of such Excise Tax. For purposes of determining the amount of the Gross-Up Payment, the applicable executive will be deemed to pay federal income tax and employment taxes at the highest marginal rate of federal income and employment taxation in the calendar year in which the Gross-Up Payment is to be made and state and local income taxes at the highest marginal rate of taxation in the state and locality of the applicable executive’s residence (or, if greater, the state and locality in which the applicable executive is required to file a nonresident income tax return with respect to the payment) in the calendar year in which the Gross-Up Payment is to be made, net of the maximum reduction in federal income taxes that may be obtained from the deduction of such state and local taxes.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uncertainty in the application of sections 4999 and 280G of the Code, it is possible that the Gross-Up Payments either will have been made which should not have been made, or will not have been made which should have been made, by the Company (an “Excess Gross-Up Payment” or a “Gross-Up Underpayment,” respectively). If it is established pursuant to (A) a final determination of a court for which all appeals have been taken and finally resolved or the time for all appeals has expired, or (B) an Internal Revenue Service (the “IRS”) proceeding which has been finally and conclusively resolved, that an Excess Gross-Up Payment has been made, such Excess Gross-Up Payment shall be deemed for all purposes to be a loan to the executive made on the date the executive received the Excess Gross-Up Payment and the executive shall repay the Excess Gross-Up Payment to the Company either (i) on demand, if the executive is in possession of the Excess Gross-Up Payment or (ii) upon the refund of such Excess Gross-Up Payment to the executive from the IRS, if the IRS is in possession of such Excess Gross-Up Payment, together with interest on the Excess Gross-Up Payment at (X) 120% of the applicable federal rate (as defined in Section 1274(d) of the Code) compounded semi-annually for any period during which the executive held such Excess Gross-Up Payment and (Y) the interest rate paid to the executive by the IRS in respect of any period during which the IRS held such Excess Gross-Up Payment. If a Gross-Up Underpayment occurs as determined under one or more of the following circumstances: (I) such determination is made by the Company (which shall include the position taken by the Company, together with its consolidated group, on its federal income tax return) or is made by the IRS, (II) such determination is made by a court, or (III) such determination is made upon the resolution to the executive’s satisfaction of the Dispute, then the Company shall pay an amount equal to the Gross-Up Underpayment to the executive within ten calendar days of such determination or resolution, together with interest on such amount at 120% of the applicable federal rate compounded semi-annually from the date such amount should have been paid to the executive pursuant to the terms of his or her employment agreement or otherwise, but for the operation of Section 4(c) of the employment agreements, until the date of payment.</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56</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two employment agreements also contains a non-solicitation provision, wherein the executive agrees that, during the term of their agreement and for three years thereafter, the executive will not, directly or indirectly solicit or discuss with any employee of Company the employment of such Company employee by any other commercial enterprise other than Company, nor recruit, attempt to recruit, hire or attempt to hire any such Company employee on behalf of any commercial enterprise other than Company, provided that this provision will not prohibit the applicable executive from undertaking a general recruitment advertisement provided that it is not targeted towards any person identified above, or from hiring, employing or engaging any such person who responds to that general recruitment advertisement.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two employment agreements also provides that, during the term, the applicable executive will be entitled to indemnification and insurance coverage for officers’ liability, fiduciary liability and other liabilities arising out of the executive’s position with the Company in any capacity, in an amount not less than the highest amount available to any other executive, and that such coverage and protections, with respect to the various liabilities as to which the executive has been customarily indemnified prior to termination of employment, will continue for at least six years following the end of the applicable term.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two employment agreements contains customary representations and warranties by the parties, a provision for resolution of disputes by arbitration, customary confidentiality provisions, customary provisions relating to the Company’s ownership of intellectual property created by the applicable executive, and other customary miscellaneous provisions.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Agreements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2021, the Company entered into Director Agreements with each of Messrs. Lenner and Branch in connection with their services as directors of the Company. On October 6, 2021, the Company entered into a Director Agreement with Mr. Gao in connection with his services as a director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their respective agreements, each of Messrs. Lenner, Branch and Gao agreed to serve as a director of the Company and to be available to perform the duties consistent with such position pursuant to the Certificate and Bylaws of the Company, and any additional codes, guidelines or policies of the Company that may be effective now or in the future. Each of the agreements continues in effect until the earliest of (a) such time as the applicable director resigns or is removed from office and (b) the death of the director.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agreement provides that, during the term of the applicable agreement, in exchange for their services, the Company shall issue to the applicable director a number of shares of common stock having a fair market value of $3,000 as of such date (with any partial quarter being pro-rated). The market value of the shares is determined in the same manner as for the executive’s employment agreements as discussed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directors’ agreements provides that if at the Company’s request the director attends any trade shows, events, or meetings which are independent of the director’s responsibility under the applicable agreement, the Company will pay the director $1,000 in cash per full day for such attendance or $500 in cash for a half day.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agreements provide that, during the applicable term, the Company will reimburse the applicable director for all reasonable out-of-pocket expenses incurred by them in attending any in-person meetings, provided that the director complies with the generally applicable policies, practices and procedures of the Company for submission of expense reports, receipts or similar documentation of such expenses. Any reimbursements for allocated expenses (as compared to out-of-pocket expenses of the director in excess of $500) must be approved in advance by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director agreements contains customary confidentiality provisions, customary provisions relating to the Company’s ownership of intellectual property created by the applicable director, customary representations and warranties by the parties and other customary miscellaneous provisions.</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57</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 and Ms. Yu were provided with the following primary elements of compensation in 2021 and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Base Salary. </w:t>
      </w:r>
      <w:r>
        <w:rPr>
          <w:rFonts w:ascii="Times New Roman;Times;Serif" w:hAnsi="Times New Roman;Times;Serif"/>
          <w:b w:val="false"/>
          <w:i w:val="false"/>
          <w:caps w:val="false"/>
          <w:smallCaps w:val="false"/>
          <w:sz w:val="20"/>
        </w:rPr>
        <w:t>Mr. Lai and Ms. Yu received a fixed base salary in an amount determined by the Board of Directors based on a number of factors, including: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responsibilities and duties of the officer’s position;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expertise, demonstrated leadership ability and prior performance;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salary history and total compensation, including annual cash bonuses and long-term incentive compensation;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competitiveness of the market for the officer’s services.</w:t>
            </w:r>
          </w:p>
        </w:tc>
      </w:tr>
    </w:tbl>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of Mr. Lai and Ms. Yu for 2022 and 2021 is listed in “—2022 Summary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Bonuses. </w:t>
      </w:r>
      <w:r>
        <w:rPr>
          <w:rFonts w:ascii="Times New Roman;Times;Serif" w:hAnsi="Times New Roman;Times;Serif"/>
          <w:b w:val="false"/>
          <w:i w:val="false"/>
          <w:caps w:val="false"/>
          <w:smallCaps w:val="false"/>
          <w:sz w:val="20"/>
        </w:rPr>
        <w:t>For the year ended December 31, 2022, the Company paid Mr. Lai and Ms. Yu a bonus of $100,000 and $550,000, respectively. For the year ended December 31, 2021, the Company paid Mr. Lai and Ms. Yu a bonus of $300,000 and $500,000,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bonuses for 2022 and 2021 were determined based on peer comparable compensation paid in the Seattle, Washington area reported by www.salary.com (https://www.salary.com/tools/salary-calculator/ceo/seattle-wa?view=table&amp;type=bonus). According to www.salary.com, the CEO salary and bonus range in Seattle was $640,840 to $2,990,094 as updated December 27, 2022. The $600,000 and $650,000 compensation (base salary and bonus) paid to Mr. Lai for 2022 and 2021, respectively, fell within such range and we believed such compensation to be reasonable due to the significant growth in the Company in 2022 and 2021, respectively, due in large part to Mr. Lai’s leadership.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www.salary.com, the head of general operations salary and bonus range in Seattle was $250,534 and $736,361 as updated December 27, 2022. The $1,000,000 and $818,461 compensation (base salary and bonus) paid to Ms. Yu for 2022 and 2021, respectively, fell slightly above such range and we believed to be reasonable due to Ms. Yu being instrumental in delivering high growth of new vendors to the Company in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xml:space="preserve"> We did not grant any stock awards to our directors or executive officers in fiscal years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Option Grants.</w:t>
      </w:r>
      <w:r>
        <w:rPr>
          <w:rFonts w:ascii="Times New Roman;Times;Serif" w:hAnsi="Times New Roman;Times;Serif"/>
          <w:b w:val="false"/>
          <w:i w:val="false"/>
          <w:caps w:val="false"/>
          <w:smallCaps w:val="false"/>
          <w:sz w:val="20"/>
        </w:rPr>
        <w:t xml:space="preserve"> On January 6, 2022, the Board granted Mr. Lai and Ms. Yu an option to purchase 25,000 shares of the Company’s common stock, respectively. The option vests in four equal annual installments, with the first installment vesting on the first anniversary of the grant. We did not grant any stock options to our directors or executive officers in fiscal year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Benefits.</w:t>
      </w:r>
      <w:r>
        <w:rPr>
          <w:rFonts w:ascii="Times New Roman;Times;Serif" w:hAnsi="Times New Roman;Times;Serif"/>
          <w:b w:val="false"/>
          <w:i w:val="false"/>
          <w:caps w:val="false"/>
          <w:smallCaps w:val="false"/>
          <w:sz w:val="20"/>
        </w:rPr>
        <w:t xml:space="preserve"> In fiscal years 2022 and 2021, Mr. Lai and Ms. Yu were reimbursed for healthcare expenses. The amounts paid to Mr. Lai and Ms. Yu in 2022 and 2021 in respect of these benefits is reflected above in the “All Other Compensation” column of the Summary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stockholders holding a majority of the Company’s voting capital approved and adopted the 2021 Plan on June 27, 2021. The 2021 Plan shall be administered by the Board or one or more committees appointed by the Board or another committee (“Administrator”). The Administrator, in its discretion, selects the individuals to whom awards may be granted, the time or times at which such awards are granted, and the terms of such awards. The 2021 Plan authorizes the Company to grant stock options, stock appreciation rights, restricted shares, restricted share unit, cash awards, other awards, and performance-based awards. Awards may be granted to the Company’s officers, employees, directors and consultants.</w:t>
      </w:r>
    </w:p>
    <w:p>
      <w:pPr>
        <w:pStyle w:val="TextBody"/>
        <w:shd w:fill="FFFFFF" w:val="clear"/>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58</w:t>
            </w:r>
          </w:p>
        </w:tc>
      </w:tr>
    </w:tbl>
    <w:p>
      <w:pPr>
        <w:pStyle w:val="TextBody"/>
        <w:spacing w:before="0" w:after="0"/>
        <w:ind w:left="0" w:right="0" w:hanging="0"/>
        <w:rPr/>
      </w:pPr>
      <w:r>
        <w:rPr/>
        <w:t> </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2021 Plan is to promote the success of the Company and to increase stockholder value by providing an additional means through the grant of awards to attract, motivate, retain and reward selected employees and other eligible persons. The Board may, at any time, terminate or, from time to time, amend, modify or suspend the 2021 Plan, in whole or in part. To the extent then required by applicable law or any applicable stock exchange or required under the Code to preserve the intended tax consequences of the 2021 Plan, or deemed necessary or advisable by the Board, the 2021 Plan and any amendment to the 2021 Plan shall be subject to stockholder approval. Unless earlier terminated by the Board, the 2021 Plan will terminate 10 years from the date of adoption.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4,995,000 shares of the Company’s common stock were originally authorized for issuance pursuant to the 2021 Plan. Pursuant to the terms of the 2021 Plan and subject to adjustment as provided in the 2021 Plan, the maximum aggregate number of shares that may be issued under the 2021 Plan were cumulatively increased on January 1, 2022 and will be cumulatively increased on each subsequent January 1, by a number of shares equal to the smaller of (i) 3% of the number of shares of common stock issued and outstanding on the immediately preceding December 31, or (ii) an amount determined by the Board. Accordingly, as of March 31, 2023, there were 5,994,000 shares of common stock authorized for issuance pursuant to the 2021 Plan, and 5,994,000 shares available for issuance under the 2021 Plan.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award issued pursuant to the 2021 Plan expires or becomes unexercisable without having been exercised in full, is surrendered pursuant to an exchange program, as provided in the 2021 Plan, or, with respect to restricted stock, restricted stock units (“RSUs”), performance units or performance shares, is forfeited to or repurchased by the Company due to the failure to vest, the unpurchased shares (or for awards other than stock options or stock appreciation rights the forfeited or repurchased shares) which were subject thereto will become available for future grant or sale under the 2021 Plan (unless the 2021 Plan has terminated). With respect to stock appreciation rights, only shares actually issued pursuant to a stock appreciation right will cease to be available under the 2021 Plan; all remaining shares under stock appreciation rights will remain available for future grant or sale under the 2021 Plan (unless the 2021 Plan has terminated). Shares that have actually been issued under the 2021 Plan under any award will not be returned to the 2021 Plan and will not become available for future distribution under the 2021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2021 Plan. Shares used to pay the exercise price of an award or to satisfy the tax withholdings related to an award will become available for future grant or sale under the 2021 Plan. To the extent an award under the 2021 Plan is paid out in cash rather than shares, such cash payment will not result in reducing the number of shares available for issuance under the 2021 Plan.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adjustment as provided in the 2021 Plan, the maximum number of shares that may be issued upon the exercise of incentive stock options will equal the aggregate share number stated above, plus, to the extent allowable under Section 422 of the Code and regulations promulgated thereunder, any shares that become available for issuance under the 2021 Plan in accordance with the foregoing.</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Administration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one or more committees appointed by the Board will administer the 2021 Plan. In addition, if the Company determines it is desirable to qualify transactions under the 2021 Plan as exempt under Rule 16b-3 of the Exchange Act such transactions will be structured with the intent that they satisfy the requirements for exemption under Rule 16b-3. Subject to the provisions of the 2021 Plan, the administrator has the power to administer the 2021 Plan and make all determinations deemed necessary or advisable for administering the 2021 Plan, including the power to determine the fair market value of the Company’s common stock, select the service providers to whom awards may be granted, determine the number of shares covered by each award, approve forms of award agreements for use under the 2021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and modify or amend each award, including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59</w:t>
            </w:r>
          </w:p>
        </w:tc>
      </w:tr>
    </w:tbl>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2021 Plan, other than incentive stock options, may be granted to employees (including officers) of the Company or a subsidiary, members of the Company’s Board, or consultants engaged to render bona fide services to the Company or a subsidiary. Incentive stock options may be granted only to employees of the Company or a subsidiary.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may be granted under the 2021 Plan. The exercise price of options granted under the 2021 Plan generally must at least be equal to the fair market value of the Company’s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the 2021 Plan, the administrator determines the other terms of options.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may be granted under the 2021 Plan. Stock appreciation rights allow the recipient to receive the appreciation in the fair market value of the Company’s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2021 Plan, the administrator determines the other terms of stock appreciation rights, including when such rights become exercisable and whether to pay any increased appreciation in cash or with shares of the Company’s common stock, or a combination thereof, except that the per share exercise price for the shares to be issued pursuant to the exercise of a stock appreciation right will be no less than 100% of the fair market value per share on the date of grant.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may be granted under the 2021 Plan. Restricted stock awards are grants of shares of the Company’s common stock that vest in accordance with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the Company’s right of repurchase or forfeiture.</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60</w:t>
            </w:r>
          </w:p>
        </w:tc>
      </w:tr>
    </w:tbl>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may be granted under the 2021 Plan. RSUs are bookkeeping entries representing an amount equal to the fair market value of one share of the Company’s common stock. Subject to the provisions of the 2021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the Company’s common stock or in some combination thereof. Notwithstanding the foregoing, the administrator, in its sole discretion, may accelerate the time at which any vesting requirements will be deemed satisfied.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Units and Performance Shares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units and performance shares may be granted under the 2021 Plan. 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the Company’s common stock on the grant date. The administrator, in its sole discretion, may pay earned performance units or performance shares in the form of cash, in shares or in some combination thereof.</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provides that all non-employee directors will be eligible to receive all types of awards (except for incentive stock options) under the 2021 Plan. The 2021 Plan includes a maximum limit of $750,000 of equity awards that may be granted to a non-employee director in any fiscal year, increased to $1,500,000 in connection with his or her initial service. For purposes of this limitation, the value of equity awards is based on the grant date fair value (determined in accordance with accounting principles generally accepted in the United States). Any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the Company’s non-employee directors.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Non-transferability of Awards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administrator provides otherwise, the 2021 Plan generally does not allow for the transfer of awards and only the recipient of an award may exercise an award during their lifetime. If the administrator makes an award transferrable, such award will contain such additional terms and conditions as the administrator deems appropriate.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changes in the Company’s capitalization, to prevent diminution or enlargement of the benefits or potential benefits available under the 2021 Plan, the administrator will adjust the number and class of shares that may be delivered under the 2021 Plan or the number, and price of shares covered by each outstanding award and the numerical share limits set forth in the 2021 Plan.</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61</w:t>
            </w:r>
          </w:p>
        </w:tc>
      </w:tr>
    </w:tbl>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or Liquidation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proposed liquidation or dissolution, the administrator will notify participants as soon as practicable and all awards will terminate immediately prior to the consummation of such proposed transaction.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or Change in Control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provides that in the event of the Company’s merger with or into another corporation or entity or a “change in control” (as defined in the 2021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the Company or any of the Company’s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awards granted to an outside director, the outside director will fully vest in and have the right to exercise all of their outstanding options and stock appreciation rights, all restrictions on restricted stock and RSUs will lapse and, for awards with performance-based vesting, unless specifically provided for in the award agreement, all performance goals or other vesting criteria will be deemed achieved at 100% of target levels and all other terms and conditions met.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will be subject to any Company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Board may require a participant to forfeit, return or reimburse the Company all or a portion of the award or shares issued under the award, any amounts paid under the award and any payments or proceeds paid or provided upon disposition of the shares issued under the award in order to comply with such clawback policy or applicable laws.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62</w:t>
            </w:r>
          </w:p>
        </w:tc>
      </w:tr>
    </w:tbl>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has the authority to amend, suspend or terminate the 2021 Plan provided such action does not impair the existing rights of any participant. The 2021 Plan automatically will terminate on June 27, 2031, unless it is terminated sooner.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Philosophy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determines the compensation given to our executive officers in its sole determination. Our Board of Directors reserves the right to pay our executives or any future executives a salary, and/or issue them shares of common stock issued in consideration for services rendered and/or to award incentive bonuses which are linked to our performance, as well as to the individual executive officer’s performance. This package may also include long-term stock-based compensation to certain executives, which is intended to align the performance of our executives with our long-term business strategies. Additionally, while our Board of Directors has not granted any performance base stock options to date, the Board of Directors reserves the right to grant such options in the future, if the Board in its sole determination believes such grants would be in the best interests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Bonus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grant incentive bonuses to our executive officers and/or future executive officers in its sole discretion, if the Board of Directors believes such bonuses are in the Company’s best interest, after analyzing our current business objectives and growth, if any, and the amount of revenue we are able to generate each month, which revenue is a direct result of the actions and ability of such executives.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Stock Based Compensation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attract, retain and motivate executive talent necessary to support the Company’s long-term business strategy, we may award our executives and any future executives with long-term, stock-based compensation in the future, at the sole discretion of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3" w:name="AR_029"/>
      <w:bookmarkEnd w:id="5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spacing w:before="0" w:after="0"/>
        <w:ind w:left="0" w:right="0" w:hanging="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March 31, 2023 by:</w:t>
      </w:r>
    </w:p>
    <w:p>
      <w:pPr>
        <w:pStyle w:val="TextBody"/>
        <w:spacing w:before="0" w:after="0"/>
        <w:ind w:left="0" w:right="0" w:firstLine="720"/>
        <w:jc w:val="both"/>
        <w:rPr>
          <w:caps w:val="false"/>
          <w:smallCaps w:val="false"/>
        </w:rPr>
      </w:pPr>
      <w:r>
        <w:rPr>
          <w:caps w:val="false"/>
          <w:smallCaps w:val="false"/>
        </w:rPr>
        <w:t> </w:t>
      </w:r>
    </w:p>
    <w:tbl>
      <w:tblPr>
        <w:tblW w:w="9430" w:type="dxa"/>
        <w:jc w:val="left"/>
        <w:tblInd w:w="0" w:type="dxa"/>
        <w:tblCellMar>
          <w:top w:w="0" w:type="dxa"/>
          <w:left w:w="0" w:type="dxa"/>
          <w:bottom w:w="0" w:type="dxa"/>
          <w:right w:w="0" w:type="dxa"/>
        </w:tblCellMar>
      </w:tblPr>
      <w:tblGrid>
        <w:gridCol w:w="75"/>
        <w:gridCol w:w="170"/>
        <w:gridCol w:w="918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1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 the beneficial owner of more than 5% of our outstanding shares of common stock;</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1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that beneficially owns shares of our common stock;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1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executive officers and directors as a group.</w:t>
            </w:r>
          </w:p>
        </w:tc>
      </w:tr>
    </w:tbl>
    <w:p>
      <w:pPr>
        <w:pStyle w:val="TextBody"/>
        <w:spacing w:before="0" w:after="0"/>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table below, percentage ownership is based on 35,047,828 shares of our common stock issued and outstanding as of March 31, 2023. Unless otherwise noted below, the address for each beneficial owner listed on the table is c/o Hour Loop, Inc., 8201 164th Ave NE #200, Redmond, WA 98052-7615. We have determined beneficial ownership in accordance with the rules of the SEC. We believe, based on the information furnished to us, that the persons and entities named in the tables below have sole voting and investment power with respect to all shares of common stock that they beneficially own, subject to applicable community property laws.</w:t>
      </w:r>
    </w:p>
    <w:p>
      <w:pPr>
        <w:pStyle w:val="TextBody"/>
        <w:spacing w:before="0" w:after="0"/>
        <w:ind w:left="0" w:right="0" w:firstLine="27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63</w:t>
            </w:r>
          </w:p>
        </w:tc>
      </w:tr>
    </w:tbl>
    <w:p>
      <w:pPr>
        <w:pStyle w:val="TextBody"/>
        <w:spacing w:before="0" w:after="0"/>
        <w:ind w:left="0" w:right="0" w:hanging="0"/>
        <w:rPr/>
      </w:pPr>
      <w:r>
        <w:rPr/>
        <w:t> </w:t>
      </w:r>
    </w:p>
    <w:p>
      <w:pPr>
        <w:pStyle w:val="TextBody"/>
        <w:spacing w:before="0" w:after="0"/>
        <w:ind w:left="0" w:right="0" w:firstLine="27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each of the beneficial owners listed below is c/o Hour Loop, Inc., 8201 164th Ave. NE #200, Redmond, WA 98052-7615.</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525"/>
        <w:gridCol w:w="60"/>
        <w:gridCol w:w="95"/>
        <w:gridCol w:w="1533"/>
        <w:gridCol w:w="242"/>
        <w:gridCol w:w="60"/>
        <w:gridCol w:w="472"/>
        <w:gridCol w:w="3015"/>
        <w:gridCol w:w="203"/>
      </w:tblGrid>
      <w:tr>
        <w:trPr/>
        <w:tc>
          <w:tcPr>
            <w:tcW w:w="45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28" w:type="dxa"/>
            <w:gridSpan w:val="2"/>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(1)</w:t>
            </w:r>
          </w:p>
        </w:tc>
        <w:tc>
          <w:tcPr>
            <w:tcW w:w="242"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48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Outstanding Common Stock</w:t>
            </w:r>
          </w:p>
        </w:tc>
        <w:tc>
          <w:tcPr>
            <w:tcW w:w="20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5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33,309,574</w:t>
            </w:r>
          </w:p>
        </w:tc>
        <w:tc>
          <w:tcPr>
            <w:tcW w:w="24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c>
          <w:tcPr>
            <w:tcW w:w="20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Maggie Yu</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33,309,574</w:t>
            </w:r>
          </w:p>
        </w:tc>
        <w:tc>
          <w:tcPr>
            <w:tcW w:w="24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c>
          <w:tcPr>
            <w:tcW w:w="20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Branch</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w:t>
            </w:r>
          </w:p>
        </w:tc>
        <w:tc>
          <w:tcPr>
            <w:tcW w:w="24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5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Lenner</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w:t>
            </w:r>
          </w:p>
        </w:tc>
        <w:tc>
          <w:tcPr>
            <w:tcW w:w="24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5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Minghui (Alan) Gao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3,724</w:t>
            </w:r>
          </w:p>
        </w:tc>
        <w:tc>
          <w:tcPr>
            <w:tcW w:w="24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5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Hillary (Hui-Chong) Bui</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4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5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executive officers and directors as a group (6 persons)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33,322,828</w:t>
            </w:r>
          </w:p>
        </w:tc>
        <w:tc>
          <w:tcPr>
            <w:tcW w:w="24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30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20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1240" w:type="dxa"/>
        <w:jc w:val="left"/>
        <w:tblInd w:w="0" w:type="dxa"/>
        <w:tblCellMar>
          <w:top w:w="0" w:type="dxa"/>
          <w:left w:w="0" w:type="dxa"/>
          <w:bottom w:w="0" w:type="dxa"/>
          <w:right w:w="0" w:type="dxa"/>
        </w:tblCellMar>
      </w:tblPr>
      <w:tblGrid>
        <w:gridCol w:w="140"/>
        <w:gridCol w:w="1100"/>
      </w:tblGrid>
      <w:tr>
        <w:trPr/>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9938"/>
      </w:tblGrid>
      <w:tr>
        <w:trPr/>
        <w:tc>
          <w:tcPr>
            <w:tcW w:w="75" w:type="dxa"/>
            <w:tcBorders/>
            <w:shd w:fill="auto" w:val="clear"/>
            <w:vAlign w:val="center"/>
          </w:tcPr>
          <w:p>
            <w:pPr>
              <w:pStyle w:val="TableContents"/>
              <w:spacing w:before="0" w:after="283"/>
              <w:jc w:val="both"/>
              <w:rPr/>
            </w:pPr>
            <w:r>
              <w:rPr/>
              <w:t> </w:t>
            </w:r>
          </w:p>
        </w:tc>
        <w:tc>
          <w:tcPr>
            <w:tcW w:w="192" w:type="dxa"/>
            <w:tcBorders/>
            <w:shd w:fill="auto" w:val="clear"/>
            <w:vAlign w:val="center"/>
          </w:tcPr>
          <w:p>
            <w:pPr>
              <w:pStyle w:val="TableContents"/>
              <w:spacing w:before="0" w:after="283"/>
              <w:jc w:val="both"/>
              <w:rPr>
                <w:sz w:val="20"/>
              </w:rPr>
            </w:pPr>
            <w:r>
              <w:rPr>
                <w:sz w:val="20"/>
              </w:rPr>
              <w:t>(1)</w:t>
            </w:r>
          </w:p>
        </w:tc>
        <w:tc>
          <w:tcPr>
            <w:tcW w:w="9938" w:type="dxa"/>
            <w:tcBorders/>
            <w:shd w:fill="auto" w:val="clear"/>
            <w:vAlign w:val="center"/>
          </w:tcPr>
          <w:p>
            <w:pPr>
              <w:pStyle w:val="TableContents"/>
              <w:spacing w:before="0" w:after="283"/>
              <w:jc w:val="both"/>
              <w:rPr>
                <w:sz w:val="20"/>
              </w:rPr>
            </w:pPr>
            <w:r>
              <w:rPr>
                <w:sz w:val="20"/>
              </w:rPr>
              <w:t>The percentages in the table have been calculated based on 35,047,828 shares of our common stock outstanding on March 31, 2023. To calculate a stockholder’s percentage of beneficial ownership, we include in the numerator and denominator the common stock outstanding and all shares of our common stock issuable to that person in the event of the exercise of outstanding options and other derivative securities owned by that person which are exercisable within 60 days of March 31, 2023. Common stock options and derivative securities held by other stockholders are disregarded in this calculation. Therefore, the denominator used in calculating beneficial ownership among our stockholders may differ. Unless we have indicated otherwise, each person named in the table has sole voting power and sole investment power for the shares listed opposite such person’s name.</w:t>
            </w:r>
          </w:p>
        </w:tc>
      </w:tr>
      <w:tr>
        <w:trPr/>
        <w:tc>
          <w:tcPr>
            <w:tcW w:w="75" w:type="dxa"/>
            <w:tcBorders/>
            <w:shd w:fill="auto" w:val="clear"/>
            <w:vAlign w:val="center"/>
          </w:tcPr>
          <w:p>
            <w:pPr>
              <w:pStyle w:val="TableContents"/>
              <w:spacing w:before="0" w:after="283"/>
              <w:jc w:val="both"/>
              <w:rPr/>
            </w:pPr>
            <w:r>
              <w:rPr/>
              <w:t> </w:t>
            </w:r>
          </w:p>
        </w:tc>
        <w:tc>
          <w:tcPr>
            <w:tcW w:w="192" w:type="dxa"/>
            <w:tcBorders/>
            <w:shd w:fill="auto" w:val="clear"/>
            <w:vAlign w:val="center"/>
          </w:tcPr>
          <w:p>
            <w:pPr>
              <w:pStyle w:val="TableContents"/>
              <w:spacing w:before="0" w:after="283"/>
              <w:jc w:val="both"/>
              <w:rPr/>
            </w:pPr>
            <w:r>
              <w:rPr/>
              <w:t> </w:t>
            </w:r>
          </w:p>
        </w:tc>
        <w:tc>
          <w:tcPr>
            <w:tcW w:w="993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92" w:type="dxa"/>
            <w:tcBorders/>
            <w:shd w:fill="auto" w:val="clear"/>
            <w:vAlign w:val="center"/>
          </w:tcPr>
          <w:p>
            <w:pPr>
              <w:pStyle w:val="TableContents"/>
              <w:spacing w:before="0" w:after="283"/>
              <w:jc w:val="both"/>
              <w:rPr>
                <w:sz w:val="20"/>
              </w:rPr>
            </w:pPr>
            <w:r>
              <w:rPr>
                <w:sz w:val="20"/>
              </w:rPr>
              <w:t>(2)</w:t>
            </w:r>
          </w:p>
        </w:tc>
        <w:tc>
          <w:tcPr>
            <w:tcW w:w="9938" w:type="dxa"/>
            <w:tcBorders/>
            <w:shd w:fill="auto" w:val="clear"/>
            <w:vAlign w:val="center"/>
          </w:tcPr>
          <w:p>
            <w:pPr>
              <w:pStyle w:val="TableContents"/>
              <w:spacing w:before="0" w:after="283"/>
              <w:jc w:val="both"/>
              <w:rPr>
                <w:sz w:val="20"/>
              </w:rPr>
            </w:pPr>
            <w:r>
              <w:rPr>
                <w:sz w:val="20"/>
              </w:rPr>
              <w:t>Sam Lai and Maggie Yu are husband and wife, and together beneficially own 33,309,574 shares of the Company’s common stock representing 95.04% of the voting power of the Company’s outstanding common stock. Each of Mr. Lai and Ms. Yu individually holds 16,654,787 shares of common stock, and each beneficially holds 33,309,574 shares of the Company’s common stock, as each of them is deemed to indirectly beneficially own the other’s 16,654,787 shares of common stock.</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pacing w:before="0" w:after="0"/>
        <w:ind w:left="0" w:right="0" w:firstLine="594"/>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2022, regarding our compensation plans under which equity securities are authorized for issuance: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700"/>
        <w:gridCol w:w="60"/>
        <w:gridCol w:w="268"/>
        <w:gridCol w:w="1437"/>
        <w:gridCol w:w="60"/>
        <w:gridCol w:w="60"/>
        <w:gridCol w:w="202"/>
        <w:gridCol w:w="1501"/>
        <w:gridCol w:w="60"/>
        <w:gridCol w:w="60"/>
        <w:gridCol w:w="112"/>
        <w:gridCol w:w="1606"/>
        <w:gridCol w:w="79"/>
      </w:tblGrid>
      <w:tr>
        <w:trPr/>
        <w:tc>
          <w:tcPr>
            <w:tcW w:w="47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0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 to</w:t>
              <w:br/>
              <w:t>be issued upon</w:t>
              <w:br/>
              <w:t>exercise of</w:t>
              <w:br/>
              <w:t xml:space="preserve">outstanding options, </w:t>
              <w:br/>
              <w:t>warrants and rights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0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br/>
              <w:t>exercise price of</w:t>
              <w:br/>
              <w:t>outstanding options,</w:t>
              <w:br/>
              <w:t>warrants and rights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1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br/>
              <w:t>remaining available</w:t>
              <w:br/>
              <w:t>for future issuance</w:t>
              <w:br/>
              <w:t>under equity</w:t>
              <w:br/>
              <w:t>compensation</w:t>
              <w:br/>
              <w:t>plans (excluding</w:t>
              <w:br/>
              <w:t>securities reflected</w:t>
              <w:br/>
              <w:t>in column (a))</w:t>
            </w:r>
          </w:p>
        </w:tc>
        <w:tc>
          <w:tcPr>
            <w:tcW w:w="79"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70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05"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03"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18" w:type="dxa"/>
            <w:gridSpan w:val="2"/>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9"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7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 holders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4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not approved by security holders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8"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437" w:type="dxa"/>
            <w:tcBorders>
              <w:bottom w:val="single" w:sz="12" w:space="0" w:color="000000"/>
            </w:tcBorders>
            <w:shd w:fill="FFFF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02"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501" w:type="dxa"/>
            <w:tcBorders>
              <w:bottom w:val="single" w:sz="12" w:space="0" w:color="000000"/>
            </w:tcBorders>
            <w:shd w:fill="FFFF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2"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60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5,994,000</w:t>
            </w:r>
          </w:p>
        </w:tc>
        <w:tc>
          <w:tcPr>
            <w:tcW w:w="7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CCEEFF"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8"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43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1"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2"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60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5,994,000</w:t>
            </w:r>
          </w:p>
        </w:tc>
        <w:tc>
          <w:tcPr>
            <w:tcW w:w="7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2021, our Board of Directors and stockholders holding a majority of our outstanding shares of common stock approved the 2021 Plan. Under the 2021 Plan, a total of 4,995,000 shares of common stock were authorized for issuance pursuant to the grant of stock options, stock appreciation rights, restricted stock, restricted stock units, performance units, performance shares or other cash- or stock-based awards to officers, directors, employees and eligible consultants to the Company or its subsidiaries. Pursuant to the terms of the 2021 Plan and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31, 2023, 5,994,000 shares of common stock are authorized for issuance under the 2021 Plan, and 5,994,000 shares are available for issuance under the 2021 Plan.</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64</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4" w:name="AR_030"/>
      <w:bookmarkEnd w:id="54"/>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one percent of the average of our total assets at year-end for the last two completed fiscal years and in which any of our directors, nominees for director, executive officers, beneficial owners of more than 5% of any class of our voting securities (a “significant stockholder”), or any member of the immediate family of any of the foregoing persons, had or will have a direct or indirect material interest.</w:t>
      </w:r>
    </w:p>
    <w:p>
      <w:pPr>
        <w:pStyle w:val="TextBody"/>
        <w:spacing w:before="0" w:after="0"/>
        <w:ind w:left="0" w:right="0" w:firstLine="40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transactions between us and any of our directors or executives or with a third party in which one of our officers, directors or significant stockholders has an interest can present potential or actual conflicts of interest and create the appearance that our decisions are based on considerations other than the best interests of our Company and stockholders.</w:t>
      </w:r>
    </w:p>
    <w:p>
      <w:pPr>
        <w:pStyle w:val="TextBody"/>
        <w:spacing w:before="0" w:after="0"/>
        <w:ind w:left="0" w:right="0" w:firstLine="40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of Directors or otherwise, and to determine whether the terms of the transaction are not less favorable to us than could be obtained from an unaffiliated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engage in transactions with related parties. The following is a summary of the related party transactions during the fiscal years ended December 31, 2022 and 2021, and any proposed transactions, requiring disclosure pursuant to Item 404 of Regulation S-K.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 Corporation to C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Affiliated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Loan</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2020, Sam Lai, our Chief Executive Officer, and Maggie Yu, our Senior Vice President, made a loan (“December 2020 Loan”) to us of $1,041,353 in a single payment ($520,676 attributable to each of Mr. Lai and Mrs. Yu). The loan is memorialized in a Loan Agreement dated December 31, 2020. Pursuant to the terms of the Loan Agreement, the loan bore no interest and was payable on demand.</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2021, Sam Lai, our Chief Executive Officer, and Maggie Yu, our Senior Vice President, and the Company amended and restated the Loan Agreement to modify the terms of the December 2020 Loan, whereby the interest rate became 2% per annum (applied retroactively) rather than non-interest bearing and maturity date became December 31, 2021 rather than payable on demand.</w:t>
      </w:r>
    </w:p>
    <w:p>
      <w:pPr>
        <w:pStyle w:val="TextBody"/>
        <w:shd w:fill="FFFFFF" w:val="clear"/>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65</w:t>
            </w:r>
          </w:p>
        </w:tc>
      </w:tr>
    </w:tbl>
    <w:p>
      <w:pPr>
        <w:pStyle w:val="TextBody"/>
        <w:spacing w:before="0" w:after="0"/>
        <w:ind w:left="0" w:right="0" w:hanging="0"/>
        <w:rPr/>
      </w:pPr>
      <w:r>
        <w:rPr/>
        <w:t> </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Sam Lai, our Chief Executive Officer, and Maggie Yu, our Senior Vice President, and the Company amended and restated the Loan Agreement to modify the term of the December 2020 Loan, whereby the maturity date was extended from December 31, 2021 to January 31, 2022.</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the outstanding principal balance and accrued interest on the December 2020 Loan was paid in full.</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2021 Loan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2021, Sam Lai, our Chief Executive Officer, and Maggie Yu, our Senior Vice President, made a loan (“July 2021 Loan”) to us of the outstanding retained earnings of approximately $4,170,418 in a single payment ($2,085,209 attributable to each of Mr. Lai and Mrs. Yu). The loan is memorialized in a Loan Agreement dated October 15, 2021. Pursuant to the terms of the Loan Agreement, the loan bears interest of 2% per annum and the principal of the loan ($4,170,418) and accrued interest becomes due and payable on December 31, 2022. On December 28, 2022, the Company, Mr. Lai and Ms. Yu agreed to extend the term of the loan, with the new maturity date of December 31, 2024. As amended, the annual interest rate of the loan is 5.5%.</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outstanding principal balance was approximately $4,170,418 and accrued interest was $120,003 on the July 2021 Loan.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issued and vested 1,772 shares of Company common stock to each of Sam Lai, our Chief Executive Officer, and Maggie Yu, our Senior Vice President, with a fair market value of $4.00 per share as compensation for the past services to the Company pursuant to the terms of their Executive Employment Agreements with the Company.</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issued and vested 1,750, 1,750, and 709 shares of Company common stock to Michael Lenner, Douglas Branch, and Alan Gao, respectively, with a fair market value of $4.00 per share as compensation for the past services as directors to the Company pursuant to the terms of their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2022, the Company issued and vested 916 shares of Company common stock to each of Sam Lai, Maggie Yu, Michael Lenner, Douglas Branch, and Alan Gao, with a fair market value of $3.2745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the Company issued and vested 1,049 shares of Company common stock to each of Sam Lai, Maggie Yu, Michael Lenner, Douglas Branch, and Alan Gao, with a fair market value of $2.8605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2022, the Company issued and vested 1,050 shares of Company common stock to each of Sam Lai, Maggie Yu, Michael Lenner, Douglas Branch, and Alan Gao, with a fair market value of $2.8565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Nasdaq-listed company, we are required to comply with Nasdaq’s continued listing standards.</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66</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Company and Director Independence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33,311,576 shares of the Company’s common stock, representing approximately 95% of the voting power of the Company’s outstanding common stock. As a result, the Company is a “controlled company” under the Nasdaq corporate governance standards. As a controlled company, we do not have to comply with certain corporate governance requirements under the Nasdaq rules, including the following: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Board of Directors to consist of “independent directors” as defined by the applicable Nasdaq rules and regulations;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Company’s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avail itself of each of these exemptions. More specifically, a majority of the Company’s board of directors will not consist of independent directors and the Company will not have a compensation committee or a nominating and corporate governance committee. Therefore, for as long as the Company remains a “controlled company,” the Company will not have the same protections afforded to stockholders of companies that are subject to all of these corporate governance requirements. If at any time the Company ceases to be a “controlled company” under the Nasdaq rules, the Company’s Board of Directors will take all action necessary to comply with the Nasdaq corporate governance rules, including establishing certain committees composed entirely of independent directors, subject to a permitted “phase-in”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Company’s status as a controlled company, the Company will remain subject to the Nasdaq corporate governance standard that requires the Company to have an audit committee with at least three independent directors as well as composed entirely of independent directors. As a result, the Company was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affirmatively determined that two of its six directors (Sam Lai and Maggie Yu) are non-independent directors of the Company and four of its six directors (Douglas Branch, Michael Lenner, Minghui (Alan) Gao, and Hilary (</w:t>
      </w:r>
      <w:r>
        <w:rPr>
          <w:rFonts w:ascii="Times New Roman;Times;Serif" w:hAnsi="Times New Roman;Times;Serif"/>
          <w:b w:val="false"/>
          <w:i w:val="false"/>
          <w:caps w:val="false"/>
          <w:smallCaps w:val="false"/>
          <w:color w:val="242424"/>
          <w:sz w:val="20"/>
        </w:rPr>
        <w:t xml:space="preserve">Hui-Chong) </w:t>
      </w:r>
      <w:r>
        <w:rPr>
          <w:rFonts w:ascii="Times New Roman;Times;Serif" w:hAnsi="Times New Roman;Times;Serif"/>
          <w:b w:val="false"/>
          <w:i w:val="false"/>
          <w:caps w:val="false"/>
          <w:smallCaps w:val="false"/>
          <w:sz w:val="20"/>
        </w:rPr>
        <w:t>Bui) are independent directors of the Company. The Company’s audit committee consists of the four independent directors: Messrs. Branch, Lenner, Gao and Ms. Bui. Ms. Bui is the chair of the audit committee. and qualifies as an audit committee financial expert under SEC rules and as a financially sophisticated audit committee member under the Nasdaq rules.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67</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5" w:name="AR_031"/>
      <w:bookmarkEnd w:id="55"/>
      <w:r>
        <w:rPr>
          <w:rFonts w:ascii="Times New Roman;Times;Serif" w:hAnsi="Times New Roman;Times;Serif"/>
          <w:b/>
          <w:i w:val="false"/>
          <w:caps w:val="false"/>
          <w:smallCaps w:val="false"/>
          <w:sz w:val="20"/>
        </w:rPr>
        <w:t>ITEM 14. PRINCIPAL ACCOUNTING FEES AND SERVICES</w:t>
      </w:r>
    </w:p>
    <w:p>
      <w:pPr>
        <w:pStyle w:val="TextBody"/>
        <w:spacing w:before="0" w:after="0"/>
        <w:ind w:left="0" w:right="0" w:firstLine="55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TPS Thayer, LLC acts as our independent registered public accounting firm. The following is a summary of fees paid or to be paid to TPS Thayer, LLC for the fiscal years ended December 31, 2022 and 2021.</w:t>
      </w:r>
    </w:p>
    <w:p>
      <w:pPr>
        <w:pStyle w:val="TextBody"/>
        <w:spacing w:before="0" w:after="0"/>
        <w:ind w:left="0" w:right="0" w:firstLine="720"/>
        <w:jc w:val="both"/>
        <w:rPr>
          <w:caps w:val="false"/>
          <w:smallCaps w:val="false"/>
        </w:rPr>
      </w:pPr>
      <w:r>
        <w:rPr>
          <w:caps w:val="false"/>
          <w:smallCaps w:val="false"/>
        </w:rPr>
        <w:t> </w:t>
      </w:r>
    </w:p>
    <w:tbl>
      <w:tblPr>
        <w:tblW w:w="4703" w:type="dxa"/>
        <w:jc w:val="left"/>
        <w:tblInd w:w="0" w:type="dxa"/>
        <w:tblCellMar>
          <w:top w:w="0" w:type="dxa"/>
          <w:left w:w="0" w:type="dxa"/>
          <w:bottom w:w="0" w:type="dxa"/>
          <w:right w:w="0" w:type="dxa"/>
        </w:tblCellMar>
      </w:tblPr>
      <w:tblGrid>
        <w:gridCol w:w="1850"/>
        <w:gridCol w:w="60"/>
        <w:gridCol w:w="190"/>
        <w:gridCol w:w="1088"/>
        <w:gridCol w:w="81"/>
        <w:gridCol w:w="81"/>
        <w:gridCol w:w="190"/>
        <w:gridCol w:w="1088"/>
        <w:gridCol w:w="75"/>
      </w:tblGrid>
      <w:tr>
        <w:trPr/>
        <w:tc>
          <w:tcPr>
            <w:tcW w:w="18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81"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283"/>
              <w:jc w:val="both"/>
              <w:rPr/>
            </w:pPr>
            <w:r>
              <w:rPr/>
              <w:t>Audit Fees</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115,000</w:t>
            </w:r>
          </w:p>
        </w:tc>
        <w:tc>
          <w:tcPr>
            <w:tcW w:w="81" w:type="dxa"/>
            <w:tcBorders/>
            <w:shd w:fill="CCEEFF" w:val="clear"/>
            <w:vAlign w:val="center"/>
          </w:tcPr>
          <w:p>
            <w:pPr>
              <w:pStyle w:val="TableContents"/>
              <w:spacing w:before="0" w:after="283"/>
              <w:jc w:val="left"/>
              <w:rPr/>
            </w:pPr>
            <w:r>
              <w:rPr/>
              <w:t> </w:t>
            </w:r>
          </w:p>
        </w:tc>
        <w:tc>
          <w:tcPr>
            <w:tcW w:w="8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110,000</w:t>
            </w:r>
          </w:p>
        </w:tc>
        <w:tc>
          <w:tcPr>
            <w:tcW w:w="75" w:type="dxa"/>
            <w:tcBorders/>
            <w:shd w:fill="CCEEFF" w:val="clear"/>
            <w:vAlign w:val="center"/>
          </w:tcPr>
          <w:p>
            <w:pPr>
              <w:pStyle w:val="TableContents"/>
              <w:spacing w:before="0" w:after="283"/>
              <w:jc w:val="left"/>
              <w:rPr/>
            </w:pPr>
            <w:r>
              <w:rPr/>
              <w:t> </w:t>
            </w:r>
          </w:p>
        </w:tc>
      </w:tr>
      <w:tr>
        <w:trPr/>
        <w:tc>
          <w:tcPr>
            <w:tcW w:w="1850" w:type="dxa"/>
            <w:tcBorders/>
            <w:shd w:fill="FFFFFF" w:val="clear"/>
            <w:vAlign w:val="center"/>
          </w:tcPr>
          <w:p>
            <w:pPr>
              <w:pStyle w:val="TableContents"/>
              <w:spacing w:before="0" w:after="283"/>
              <w:jc w:val="both"/>
              <w:rPr/>
            </w:pPr>
            <w:r>
              <w:rPr/>
              <w:t>Audit Related Fees</w:t>
            </w:r>
          </w:p>
        </w:tc>
        <w:tc>
          <w:tcPr>
            <w:tcW w:w="6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w:t>
            </w:r>
          </w:p>
        </w:tc>
        <w:tc>
          <w:tcPr>
            <w:tcW w:w="1088" w:type="dxa"/>
            <w:tcBorders/>
            <w:shd w:fill="FFFFFF" w:val="clear"/>
            <w:vAlign w:val="center"/>
          </w:tcPr>
          <w:p>
            <w:pPr>
              <w:pStyle w:val="TableContents"/>
              <w:spacing w:before="0" w:after="283"/>
              <w:jc w:val="right"/>
              <w:rPr/>
            </w:pPr>
            <w:r>
              <w:rPr/>
              <w:t>-</w:t>
            </w:r>
          </w:p>
        </w:tc>
        <w:tc>
          <w:tcPr>
            <w:tcW w:w="81"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w:t>
            </w:r>
          </w:p>
        </w:tc>
        <w:tc>
          <w:tcPr>
            <w:tcW w:w="1088" w:type="dxa"/>
            <w:tcBorders/>
            <w:shd w:fill="FFFFFF" w:val="clear"/>
            <w:vAlign w:val="center"/>
          </w:tcPr>
          <w:p>
            <w:pPr>
              <w:pStyle w:val="TableContents"/>
              <w:spacing w:before="0" w:after="283"/>
              <w:jc w:val="right"/>
              <w:rPr/>
            </w:pPr>
            <w:r>
              <w:rPr/>
              <w:t>120,000</w:t>
            </w:r>
          </w:p>
        </w:tc>
        <w:tc>
          <w:tcPr>
            <w:tcW w:w="75" w:type="dxa"/>
            <w:tcBorders/>
            <w:shd w:fill="FFFFFF" w:val="clear"/>
            <w:vAlign w:val="center"/>
          </w:tcPr>
          <w:p>
            <w:pPr>
              <w:pStyle w:val="TableContents"/>
              <w:spacing w:before="0" w:after="283"/>
              <w:jc w:val="left"/>
              <w:rPr/>
            </w:pPr>
            <w:r>
              <w:rPr/>
              <w:t> </w:t>
            </w:r>
          </w:p>
        </w:tc>
      </w:tr>
      <w:tr>
        <w:trPr/>
        <w:tc>
          <w:tcPr>
            <w:tcW w:w="1850" w:type="dxa"/>
            <w:tcBorders/>
            <w:shd w:fill="CCEEFF" w:val="clear"/>
            <w:vAlign w:val="center"/>
          </w:tcPr>
          <w:p>
            <w:pPr>
              <w:pStyle w:val="TableContents"/>
              <w:spacing w:before="0" w:after="283"/>
              <w:jc w:val="both"/>
              <w:rPr/>
            </w:pPr>
            <w:r>
              <w:rPr/>
              <w:t>Tax Fees</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w:t>
            </w:r>
          </w:p>
        </w:tc>
        <w:tc>
          <w:tcPr>
            <w:tcW w:w="81" w:type="dxa"/>
            <w:tcBorders/>
            <w:shd w:fill="CCEEFF" w:val="clear"/>
            <w:vAlign w:val="center"/>
          </w:tcPr>
          <w:p>
            <w:pPr>
              <w:pStyle w:val="TableContents"/>
              <w:spacing w:before="0" w:after="283"/>
              <w:jc w:val="left"/>
              <w:rPr/>
            </w:pPr>
            <w:r>
              <w:rPr/>
              <w:t> </w:t>
            </w:r>
          </w:p>
        </w:tc>
        <w:tc>
          <w:tcPr>
            <w:tcW w:w="8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1850" w:type="dxa"/>
            <w:tcBorders/>
            <w:shd w:fill="FFFFFF" w:val="clear"/>
            <w:vAlign w:val="center"/>
          </w:tcPr>
          <w:p>
            <w:pPr>
              <w:pStyle w:val="TableContents"/>
              <w:spacing w:before="0" w:after="283"/>
              <w:jc w:val="both"/>
              <w:rPr/>
            </w:pPr>
            <w:r>
              <w:rPr/>
              <w:t>All Other Fees</w:t>
            </w:r>
          </w:p>
        </w:tc>
        <w:tc>
          <w:tcPr>
            <w:tcW w:w="6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w:t>
            </w:r>
          </w:p>
        </w:tc>
        <w:tc>
          <w:tcPr>
            <w:tcW w:w="1088" w:type="dxa"/>
            <w:tcBorders/>
            <w:shd w:fill="FFFFFF" w:val="clear"/>
            <w:vAlign w:val="center"/>
          </w:tcPr>
          <w:p>
            <w:pPr>
              <w:pStyle w:val="TableContents"/>
              <w:spacing w:before="0" w:after="283"/>
              <w:jc w:val="right"/>
              <w:rPr/>
            </w:pPr>
            <w:r>
              <w:rPr/>
              <w:t>-</w:t>
            </w:r>
          </w:p>
        </w:tc>
        <w:tc>
          <w:tcPr>
            <w:tcW w:w="81"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w:t>
            </w:r>
          </w:p>
        </w:tc>
        <w:tc>
          <w:tcPr>
            <w:tcW w:w="1088"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1850" w:type="dxa"/>
            <w:tcBorders/>
            <w:shd w:fill="CCEEFF" w:val="clear"/>
            <w:vAlign w:val="center"/>
          </w:tcPr>
          <w:p>
            <w:pPr>
              <w:pStyle w:val="TableContents"/>
              <w:spacing w:before="0" w:after="283"/>
              <w:jc w:val="both"/>
              <w:rPr>
                <w:b/>
              </w:rPr>
            </w:pPr>
            <w:r>
              <w:rPr>
                <w:b/>
              </w:rPr>
              <w:t>Total</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115,000</w:t>
            </w:r>
          </w:p>
        </w:tc>
        <w:tc>
          <w:tcPr>
            <w:tcW w:w="81" w:type="dxa"/>
            <w:tcBorders/>
            <w:shd w:fill="CCEEFF" w:val="clear"/>
            <w:vAlign w:val="center"/>
          </w:tcPr>
          <w:p>
            <w:pPr>
              <w:pStyle w:val="TableContents"/>
              <w:spacing w:before="0" w:after="283"/>
              <w:jc w:val="left"/>
              <w:rPr/>
            </w:pPr>
            <w:r>
              <w:rPr/>
              <w:t> </w:t>
            </w:r>
          </w:p>
        </w:tc>
        <w:tc>
          <w:tcPr>
            <w:tcW w:w="8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w:t>
            </w:r>
          </w:p>
        </w:tc>
        <w:tc>
          <w:tcPr>
            <w:tcW w:w="1088" w:type="dxa"/>
            <w:tcBorders/>
            <w:shd w:fill="CCEEFF" w:val="clear"/>
            <w:vAlign w:val="center"/>
          </w:tcPr>
          <w:p>
            <w:pPr>
              <w:pStyle w:val="TableContents"/>
              <w:spacing w:before="0" w:after="283"/>
              <w:jc w:val="right"/>
              <w:rPr/>
            </w:pPr>
            <w:r>
              <w:rPr/>
              <w:t>230,000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Audit fees consist of fees billed for professional services rendered for the audit of our year-end financial statements and services that are normally provided by our independent registered public accounting firm in connection with regulatory filings. The above amounts include interim procedures and audit fees, as well as attendance at Audit Committee meetings.</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xml:space="preserve"> 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Tax fees consist of fees billed for tax planning services and tax advice. The board of directors must specifically approve all other tax services.</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Other services are services provided by the independent registered public accounting firm that do not fall within the established audit, audit-related, and tax services categories. The board of directors preapproves specified other services that do not fall within any of the specified prohibited categories of services.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formation of our audit committee, all of the foregoing services were pre-approved by our audit committee. Our audit committee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6" w:name="AR_033"/>
      <w:bookmarkEnd w:id="56"/>
      <w:r>
        <w:rPr>
          <w:rFonts w:ascii="Times New Roman;Times;Serif" w:hAnsi="Times New Roman;Times;Serif"/>
          <w:b/>
          <w:i w:val="false"/>
          <w:caps w:val="false"/>
          <w:smallCaps w:val="false"/>
          <w:sz w:val="20"/>
        </w:rPr>
        <w:t>PART IV</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7" w:name="AR_032"/>
      <w:bookmarkEnd w:id="57"/>
      <w:r>
        <w:rPr>
          <w:rFonts w:ascii="Times New Roman;Times;Serif" w:hAnsi="Times New Roman;Times;Serif"/>
          <w:b/>
          <w:i w:val="false"/>
          <w:caps w:val="false"/>
          <w:smallCaps w:val="false"/>
          <w:sz w:val="20"/>
        </w:rPr>
        <w:t>ITEM 15. EXHIBITS AND FINANCIAL STATEMENT SCHEDULES</w:t>
      </w:r>
    </w:p>
    <w:p>
      <w:pPr>
        <w:pStyle w:val="TextBody"/>
        <w:spacing w:before="0" w:after="0"/>
        <w:jc w:val="center"/>
        <w:rPr>
          <w:caps w:val="false"/>
          <w:smallCaps w:val="false"/>
        </w:rPr>
      </w:pPr>
      <w:r>
        <w:rPr>
          <w:caps w:val="false"/>
          <w:smallCaps w:val="false"/>
        </w:rPr>
        <w:t> </w:t>
      </w:r>
    </w:p>
    <w:tbl>
      <w:tblPr>
        <w:tblW w:w="5380" w:type="dxa"/>
        <w:jc w:val="left"/>
        <w:tblInd w:w="0" w:type="dxa"/>
        <w:tblCellMar>
          <w:top w:w="0" w:type="dxa"/>
          <w:left w:w="0" w:type="dxa"/>
          <w:bottom w:w="0" w:type="dxa"/>
          <w:right w:w="0" w:type="dxa"/>
        </w:tblCellMar>
      </w:tblPr>
      <w:tblGrid>
        <w:gridCol w:w="245"/>
        <w:gridCol w:w="5135"/>
      </w:tblGrid>
      <w:tr>
        <w:trPr/>
        <w:tc>
          <w:tcPr>
            <w:tcW w:w="2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annual report:</w:t>
            </w:r>
          </w:p>
        </w:tc>
      </w:tr>
    </w:tbl>
    <w:p>
      <w:pPr>
        <w:pStyle w:val="TextBody"/>
        <w:spacing w:before="0" w:after="0"/>
        <w:ind w:left="0" w:right="0" w:hanging="0"/>
        <w:rPr>
          <w:caps w:val="false"/>
          <w:smallCaps w:val="false"/>
        </w:rPr>
      </w:pPr>
      <w:r>
        <w:rPr>
          <w:caps w:val="false"/>
          <w:smallCaps w:val="false"/>
        </w:rPr>
        <w:t> </w:t>
      </w:r>
    </w:p>
    <w:tbl>
      <w:tblPr>
        <w:tblW w:w="1990" w:type="dxa"/>
        <w:jc w:val="left"/>
        <w:tblInd w:w="0" w:type="dxa"/>
        <w:tblCellMar>
          <w:top w:w="0" w:type="dxa"/>
          <w:left w:w="0" w:type="dxa"/>
          <w:bottom w:w="0" w:type="dxa"/>
          <w:right w:w="0" w:type="dxa"/>
        </w:tblCellMar>
      </w:tblPr>
      <w:tblGrid>
        <w:gridCol w:w="260"/>
        <w:gridCol w:w="1730"/>
      </w:tblGrid>
      <w:tr>
        <w:trPr/>
        <w:tc>
          <w:tcPr>
            <w:tcW w:w="2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spacing w:before="0" w:after="0"/>
        <w:jc w:val="center"/>
        <w:rPr>
          <w:caps w:val="false"/>
          <w:smallCaps w:val="false"/>
        </w:rPr>
      </w:pPr>
      <w:r>
        <w:rPr>
          <w:caps w:val="false"/>
          <w:smallCaps w:val="false"/>
        </w:rPr>
        <w:t> </w:t>
      </w:r>
    </w:p>
    <w:tbl>
      <w:tblPr>
        <w:tblW w:w="5650" w:type="dxa"/>
        <w:jc w:val="left"/>
        <w:tblInd w:w="0" w:type="dxa"/>
        <w:tblCellMar>
          <w:top w:w="0" w:type="dxa"/>
          <w:left w:w="0" w:type="dxa"/>
          <w:bottom w:w="0" w:type="dxa"/>
          <w:right w:w="0" w:type="dxa"/>
        </w:tblCellMar>
      </w:tblPr>
      <w:tblGrid>
        <w:gridCol w:w="75"/>
        <w:gridCol w:w="5270"/>
        <w:gridCol w:w="305"/>
      </w:tblGrid>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270"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2">
              <w:r>
                <w:rPr>
                  <w:rStyle w:val="InternetLink"/>
                  <w:rFonts w:ascii="Times New Roman;Times;Serif" w:hAnsi="Times New Roman;Times;Serif"/>
                  <w:b w:val="false"/>
                  <w:i w:val="false"/>
                  <w:caps w:val="false"/>
                  <w:smallCaps w:val="false"/>
                  <w:sz w:val="20"/>
                </w:rPr>
                <w:t>Consolidated Balance Sheets</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270"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3">
              <w:r>
                <w:rPr>
                  <w:rStyle w:val="InternetLink"/>
                  <w:rFonts w:ascii="Times New Roman;Times;Serif" w:hAnsi="Times New Roman;Times;Serif"/>
                  <w:b w:val="false"/>
                  <w:i w:val="false"/>
                  <w:caps w:val="false"/>
                  <w:smallCaps w:val="false"/>
                  <w:sz w:val="20"/>
                </w:rPr>
                <w:t>Consolidated Statements of Operations and Comprehensive Loss</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5270"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4">
              <w:r>
                <w:rPr>
                  <w:rStyle w:val="InternetLink"/>
                  <w:rFonts w:ascii="Times New Roman;Times;Serif" w:hAnsi="Times New Roman;Times;Serif"/>
                  <w:b w:val="false"/>
                  <w:i w:val="false"/>
                  <w:caps w:val="false"/>
                  <w:smallCaps w:val="false"/>
                  <w:sz w:val="20"/>
                </w:rPr>
                <w:t>Consolidated Statements of Stockholders’ Equity</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5270"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5">
              <w:r>
                <w:rPr>
                  <w:rStyle w:val="InternetLink"/>
                  <w:rFonts w:ascii="Times New Roman;Times;Serif" w:hAnsi="Times New Roman;Times;Serif"/>
                  <w:b w:val="false"/>
                  <w:i w:val="false"/>
                  <w:caps w:val="false"/>
                  <w:smallCaps w:val="false"/>
                  <w:sz w:val="20"/>
                </w:rPr>
                <w:t>Consolidated Statements of Cash Flows</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5270"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5270" w:type="dxa"/>
            <w:tcBorders/>
            <w:shd w:fill="CCEEFF" w:val="clear"/>
            <w:vAlign w:val="center"/>
          </w:tcPr>
          <w:p>
            <w:pPr>
              <w:pStyle w:val="TableContents"/>
              <w:spacing w:before="0" w:after="283"/>
              <w:rPr/>
            </w:pPr>
            <w:hyperlink w:anchor="Ha_006">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Schedules</w:t>
            </w:r>
          </w:p>
        </w:tc>
      </w:tr>
      <w:tr>
        <w:trPr/>
        <w:tc>
          <w:tcPr>
            <w:tcW w:w="21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1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statements schedules are omitted because they are not applicable or the amounts are immaterial and not required, or the required information is presented in the financial statements and notes thereto beginning on page F-1 of this annual report.</w:t>
            </w:r>
          </w:p>
        </w:tc>
      </w:tr>
      <w:tr>
        <w:trPr/>
        <w:tc>
          <w:tcPr>
            <w:tcW w:w="21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1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r>
        <w:trPr/>
        <w:tc>
          <w:tcPr>
            <w:tcW w:w="21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1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file as part of this annual report the exhibits listed in the Exhibit Index below.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tc>
      </w:tr>
    </w:tbl>
    <w:p>
      <w:pPr>
        <w:pStyle w:val="TextBody"/>
        <w:spacing w:before="0" w:after="0"/>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68</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74"/>
        <w:gridCol w:w="60"/>
        <w:gridCol w:w="9371"/>
      </w:tblGrid>
      <w:tr>
        <w:trPr/>
        <w:tc>
          <w:tcPr>
            <w:tcW w:w="77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20"/>
                </w:rPr>
                <w:t>Certificate of Incorporation of Hour Loop, Inc. filed with the Washington Secretary of State on January 13, 2015 (incorporated by reference to Exhibit 3.1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b w:val="false"/>
                  <w:i w:val="false"/>
                  <w:caps w:val="false"/>
                  <w:smallCaps w:val="false"/>
                  <w:sz w:val="20"/>
                </w:rPr>
                <w:t>Certificate of Conversion of Hour Loop, Inc. filed with the Delaware Secretary of State on April 7, 2021 (incorporated by reference to Exhibit 3.2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 of Hour Loop, Inc. filed with the Delaware Secretary of State on April 7, 2021 (incorporated by reference to Exhibit 3.3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Incorporation of Hour Loop, Inc. filed with the Delaware Secretary of State on September 23, 2021 (incorporated by reference to Exhibit 3.4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Incorporation of Hour Loop, Inc. filed with the Delaware Secretary of State on November 30, 2021 (incorporated by reference to Exhibit 3.5 to Amendment No. 1 to the registrant’s registrant statement on Form S-1 (File No. 333-260540), filed with the SEC on December 16,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b w:val="false"/>
                  <w:i w:val="false"/>
                  <w:caps w:val="false"/>
                  <w:smallCaps w:val="false"/>
                  <w:sz w:val="20"/>
                </w:rPr>
                <w:t>Bylaws (incorporated by reference to Exhibit 3.5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b w:val="false"/>
                  <w:i w:val="false"/>
                  <w:caps w:val="false"/>
                  <w:smallCaps w:val="false"/>
                  <w:sz w:val="20"/>
                </w:rPr>
                <w:t>Amendment to Bylaws (incorporated by reference to Exhibit 3.7 to Amendment No. 1 to the registrant’s registrant statement on Form S-1 (File No. 333-260540), filed with the SEC on January 3, 2022).</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b w:val="false"/>
                  <w:i w:val="false"/>
                  <w:caps w:val="false"/>
                  <w:smallCaps w:val="false"/>
                  <w:sz w:val="20"/>
                </w:rPr>
                <w:t>Employment Agreement, dated May 27, 2021, by and between Hour Loop, Inc. and Sam Lai (incorporated by reference to Exhibit 10.1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b w:val="false"/>
                  <w:i w:val="false"/>
                  <w:caps w:val="false"/>
                  <w:smallCaps w:val="false"/>
                  <w:sz w:val="20"/>
                </w:rPr>
                <w:t>Employment Agreement, dated May 27, 2021, by and between Hour Loop, Inc. and Maggie Yu (incorporated by reference to Exhibit 10.2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b w:val="false"/>
                  <w:i w:val="false"/>
                  <w:caps w:val="false"/>
                  <w:smallCaps w:val="false"/>
                  <w:sz w:val="20"/>
                </w:rPr>
                <w:t>Director Agreement, dated June 21, 2021, by and between Hour Loop, Inc. and Michael Lenner (incorporated by reference to Exhibit 10.4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b w:val="false"/>
                  <w:i w:val="false"/>
                  <w:caps w:val="false"/>
                  <w:smallCaps w:val="false"/>
                  <w:sz w:val="20"/>
                </w:rPr>
                <w:t>Director Agreement, dated June 21, 2021, by and between Hour Loop, Inc. and Douglas Branch (incorporated by reference to Exhibit 10.5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b w:val="false"/>
                  <w:i w:val="false"/>
                  <w:caps w:val="false"/>
                  <w:smallCaps w:val="false"/>
                  <w:sz w:val="20"/>
                </w:rPr>
                <w:t>Director Agreement, dated October 6, 2021, by and between Hour Loop, Inc. and Minghui (Alan) Gao (incorporated by reference to Exhibit 10.6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b w:val="false"/>
                  <w:i w:val="false"/>
                  <w:caps w:val="false"/>
                  <w:smallCaps w:val="false"/>
                  <w:sz w:val="20"/>
                </w:rPr>
                <w:t>Hour Loop, Inc. 2021 Equity Incentive Plan (incorporated by reference to Exhibit 10.7 to the registrant’s registrant statement on Form S-1 (File No. 333-260540), filed with the SEC on October 28, 2021). †</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b w:val="false"/>
                  <w:i w:val="false"/>
                  <w:caps w:val="false"/>
                  <w:smallCaps w:val="false"/>
                  <w:sz w:val="20"/>
                </w:rPr>
                <w:t>Amazon Services Business Solutions Agreement between Amazon.com, Inc. and Hour Loop, Inc. (incorporated by reference to Exhibit 10.8 to the registrant’s registrant statement on Form S-1 (File No. 333-260540), filed with the SEC on October 28, 2021).</w:t>
              </w:r>
            </w:hyperlink>
          </w:p>
        </w:tc>
      </w:tr>
      <w:tr>
        <w:trPr/>
        <w:tc>
          <w:tcPr>
            <w:tcW w:w="774"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371" w:type="dxa"/>
            <w:tcBorders/>
            <w:shd w:fill="auto"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b w:val="false"/>
                  <w:i w:val="false"/>
                  <w:caps w:val="false"/>
                  <w:smallCaps w:val="false"/>
                  <w:sz w:val="20"/>
                </w:rPr>
                <w:t>Changes to Amazon Services Business Solutions Agreement effective November 7, 2020 between Amazon.com, Inc. and Hour Loop, Inc. (incorporated by reference to Exhibit 10.9 to the registrant’s registrant statement on Form S-1 (File No. 333-260540), filed with the SEC on October 28, 2021).</w:t>
              </w:r>
            </w:hyperlink>
          </w:p>
        </w:tc>
      </w:tr>
    </w:tbl>
    <w:p>
      <w:pPr>
        <w:pStyle w:val="TextBody"/>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69</w:t>
            </w:r>
          </w:p>
        </w:tc>
      </w:tr>
    </w:tbl>
    <w:p>
      <w:pPr>
        <w:pStyle w:val="TextBody"/>
        <w:spacing w:before="0" w:after="0"/>
        <w:ind w:left="0" w:right="0" w:hanging="0"/>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602"/>
        <w:gridCol w:w="60"/>
        <w:gridCol w:w="9543"/>
      </w:tblGrid>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19">
              <w:r>
                <w:rPr>
                  <w:rStyle w:val="InternetLink"/>
                  <w:rFonts w:ascii="Times New Roman;Times;Serif" w:hAnsi="Times New Roman;Times;Serif"/>
                  <w:b w:val="false"/>
                  <w:i w:val="false"/>
                  <w:caps w:val="false"/>
                  <w:smallCaps w:val="false"/>
                  <w:sz w:val="20"/>
                </w:rPr>
                <w:t>Loan Agreement, dated December 31, 2020, among the Company and Sam Lai and Maggie Yu (incorporated by reference to Exhibit 10.10 to the registrant’s registrant statement on Form S-1 (File No. 333-260540), filed with the SEC on October 28, 2021).</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0">
              <w:r>
                <w:rPr>
                  <w:rStyle w:val="InternetLink"/>
                  <w:rFonts w:ascii="Times New Roman;Times;Serif" w:hAnsi="Times New Roman;Times;Serif"/>
                  <w:b w:val="false"/>
                  <w:i w:val="false"/>
                  <w:caps w:val="false"/>
                  <w:smallCaps w:val="false"/>
                  <w:sz w:val="20"/>
                </w:rPr>
                <w:t>Amended and Restated Loan Agreement, dated September 16, 2021, among the Company and Sam Lai and Maggie Yu (incorporated by reference to Exhibit 10.11 to the registrant’s registrant statement on Form S-1 (File No. 333-260540), filed with the SEC on October 28, 2021).</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1">
              <w:r>
                <w:rPr>
                  <w:rStyle w:val="InternetLink"/>
                  <w:rFonts w:ascii="Times New Roman;Times;Serif" w:hAnsi="Times New Roman;Times;Serif"/>
                  <w:b w:val="false"/>
                  <w:i w:val="false"/>
                  <w:caps w:val="false"/>
                  <w:smallCaps w:val="false"/>
                  <w:sz w:val="20"/>
                </w:rPr>
                <w:t>Amended and Restated Loan Agreement, dated December 31, 2021, among the Company and Sam Lai and Maggie Yu (incorporated by reference to Exhibit 10.12 to Amendment No. 2 to the registrant’s registrant statement on Form S-1 (File No. 333-260540), filed with the SEC on January 3, 2022).</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2">
              <w:r>
                <w:rPr>
                  <w:rStyle w:val="InternetLink"/>
                  <w:rFonts w:ascii="Times New Roman;Times;Serif" w:hAnsi="Times New Roman;Times;Serif"/>
                  <w:b w:val="false"/>
                  <w:i w:val="false"/>
                  <w:caps w:val="false"/>
                  <w:smallCaps w:val="false"/>
                  <w:sz w:val="20"/>
                </w:rPr>
                <w:t>Loan Agreement, dated October 15, 2021, among the Company and Sam Lai and Maggie Yu (incorporated by reference to Exhibit 10.12 to the registrant’s registrant statement on Form S-1 (File No. 333-260540), filed with the SEC on October 28, 2021).</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3">
              <w:r>
                <w:rPr>
                  <w:rStyle w:val="InternetLink"/>
                  <w:rFonts w:ascii="Times New Roman;Times;Serif" w:hAnsi="Times New Roman;Times;Serif"/>
                  <w:b w:val="false"/>
                  <w:i w:val="false"/>
                  <w:caps w:val="false"/>
                  <w:smallCaps w:val="false"/>
                  <w:sz w:val="20"/>
                </w:rPr>
                <w:t>Addendum No. 1 to Executive Employment Agreement, dated as of January 20, 2022, by and between the registrant and Sam Lai (incorporated by reference to Exhibit 10.1 to the registrant’s Current Report on Form 8-K filed with the SEC on January 26, 2022).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4">
              <w:r>
                <w:rPr>
                  <w:rStyle w:val="InternetLink"/>
                  <w:rFonts w:ascii="Times New Roman;Times;Serif" w:hAnsi="Times New Roman;Times;Serif"/>
                  <w:b w:val="false"/>
                  <w:i w:val="false"/>
                  <w:caps w:val="false"/>
                  <w:smallCaps w:val="false"/>
                  <w:sz w:val="20"/>
                </w:rPr>
                <w:t>Addendum No. 1 to Executive Employment Agreement, dated as of January 20, 2022, by and between the registrant and Sau Kuen Yu (incorporated by reference to Exhibit 10.2 to the registrant’s Current Report on Form 8-K filed with the SEC on January 26, 2022).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r:id="rId25">
              <w:r>
                <w:rPr>
                  <w:rStyle w:val="InternetLink"/>
                  <w:rFonts w:ascii="Times New Roman;Times;Serif" w:hAnsi="Times New Roman;Times;Serif"/>
                  <w:b w:val="false"/>
                  <w:i w:val="false"/>
                  <w:caps w:val="false"/>
                  <w:smallCaps w:val="false"/>
                  <w:sz w:val="20"/>
                </w:rPr>
                <w:t>Code of Ethics (incorporated by reference to Exhibit 14.1 to the registrant’s registrant statement on Form S-1 (File No. 333-260540), filed with the SEC on October 28, 2021).</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w:anchor="ex21-1.htm">
              <w:r>
                <w:rPr>
                  <w:rStyle w:val="InternetLink"/>
                  <w:rFonts w:ascii="Times New Roman;Times;Serif" w:hAnsi="Times New Roman;Times;Serif"/>
                  <w:b w:val="false"/>
                  <w:i w:val="false"/>
                  <w:caps w:val="false"/>
                  <w:smallCaps w:val="false"/>
                  <w:sz w:val="20"/>
                </w:rPr>
                <w:t>List of Subsidiaries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the signature page)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20"/>
                </w:rPr>
                <w:t>Rule 13a-14(a) Certification of Principal Executive Officer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20"/>
                </w:rPr>
                <w:t>Rule 13a-14(a) Certification of Principal Financial Officer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of Principal Executive Officer and Principal Financial Officer **</w:t>
              </w:r>
            </w:hyperlink>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w:t>
            </w:r>
          </w:p>
        </w:tc>
      </w:tr>
      <w:tr>
        <w:trPr/>
        <w:tc>
          <w:tcPr>
            <w:tcW w:w="6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Management contracts, compensation plans and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58" w:name="AR_034"/>
      <w:bookmarkEnd w:id="58"/>
      <w:r>
        <w:rPr>
          <w:rFonts w:ascii="Times New Roman;Times;Serif" w:hAnsi="Times New Roman;Times;Serif"/>
          <w:b/>
          <w:i w:val="false"/>
          <w:caps/>
          <w:sz w:val="20"/>
        </w:rPr>
        <w:t>Item 16. Form 10-K Summary</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70</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901"/>
        <w:gridCol w:w="304"/>
      </w:tblGrid>
      <w:tr>
        <w:trPr/>
        <w:tc>
          <w:tcPr>
            <w:tcW w:w="9901" w:type="dxa"/>
            <w:tcBorders/>
            <w:shd w:fill="CCEEFF" w:val="clear"/>
            <w:vAlign w:val="center"/>
          </w:tcPr>
          <w:p>
            <w:pPr>
              <w:pStyle w:val="TableContents"/>
              <w:spacing w:before="0" w:after="283"/>
              <w:rPr/>
            </w:pPr>
            <w:hyperlink w:anchor="H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No.: </w:t>
            </w:r>
            <w:bookmarkStart w:id="59" w:name="xdx_903_edei--AuditorFirmId_c20220101__2"/>
            <w:bookmarkEnd w:id="59"/>
            <w:r>
              <w:rPr>
                <w:rFonts w:ascii="Times New Roman;Times;Serif" w:hAnsi="Times New Roman;Times;Serif"/>
                <w:b w:val="false"/>
                <w:i w:val="false"/>
                <w:caps w:val="false"/>
                <w:smallCaps w:val="false"/>
                <w:sz w:val="20"/>
              </w:rPr>
              <w:t>6706</w:t>
            </w:r>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01" w:type="dxa"/>
            <w:tcBorders/>
            <w:shd w:fill="FFFFFF" w:val="clear"/>
            <w:vAlign w:val="center"/>
          </w:tcPr>
          <w:p>
            <w:pPr>
              <w:pStyle w:val="TableContents"/>
              <w:spacing w:before="0" w:after="283"/>
              <w:rPr>
                <w:caps w:val="false"/>
                <w:smallCaps w:val="false"/>
              </w:rPr>
            </w:pPr>
            <w:r>
              <w:rPr>
                <w:caps w:val="false"/>
                <w:smallCaps w:val="false"/>
              </w:rPr>
              <w:t> </w:t>
            </w:r>
          </w:p>
        </w:tc>
        <w:tc>
          <w:tcPr>
            <w:tcW w:w="304"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1" w:type="dxa"/>
            <w:tcBorders/>
            <w:shd w:fill="CCEEFF" w:val="clear"/>
            <w:vAlign w:val="center"/>
          </w:tcPr>
          <w:p>
            <w:pPr>
              <w:pStyle w:val="TableContents"/>
              <w:spacing w:before="0" w:after="283"/>
              <w:rPr/>
            </w:pPr>
            <w:hyperlink w:anchor="Ha_002">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01" w:type="dxa"/>
            <w:tcBorders/>
            <w:shd w:fill="FFFFFF" w:val="clear"/>
            <w:vAlign w:val="center"/>
          </w:tcPr>
          <w:p>
            <w:pPr>
              <w:pStyle w:val="TableContents"/>
              <w:spacing w:before="0" w:after="283"/>
              <w:rPr>
                <w:caps w:val="false"/>
                <w:smallCaps w:val="false"/>
              </w:rPr>
            </w:pPr>
            <w:r>
              <w:rPr>
                <w:caps w:val="false"/>
                <w:smallCaps w:val="false"/>
              </w:rPr>
              <w:t> </w:t>
            </w:r>
          </w:p>
        </w:tc>
        <w:tc>
          <w:tcPr>
            <w:tcW w:w="304"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1" w:type="dxa"/>
            <w:tcBorders/>
            <w:shd w:fill="CCEEFF" w:val="clear"/>
            <w:vAlign w:val="center"/>
          </w:tcPr>
          <w:p>
            <w:pPr>
              <w:pStyle w:val="TableContents"/>
              <w:spacing w:before="0" w:after="283"/>
              <w:rPr/>
            </w:pPr>
            <w:hyperlink w:anchor="Ha_003">
              <w:r>
                <w:rPr>
                  <w:rStyle w:val="InternetLink"/>
                  <w:rFonts w:ascii="Times New Roman;Times;Serif" w:hAnsi="Times New Roman;Times;Serif"/>
                  <w:b w:val="false"/>
                  <w:i w:val="false"/>
                  <w:caps w:val="false"/>
                  <w:smallCaps w:val="false"/>
                  <w:sz w:val="20"/>
                </w:rPr>
                <w:t>Consolidated Statements of Operations and Comprehensive Loss for the twelve months ended December 31, 2022 and 2021</w:t>
              </w:r>
            </w:hyperlink>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01" w:type="dxa"/>
            <w:tcBorders/>
            <w:shd w:fill="FFFFFF" w:val="clear"/>
            <w:vAlign w:val="center"/>
          </w:tcPr>
          <w:p>
            <w:pPr>
              <w:pStyle w:val="TableContents"/>
              <w:spacing w:before="0" w:after="283"/>
              <w:rPr>
                <w:caps w:val="false"/>
                <w:smallCaps w:val="false"/>
              </w:rPr>
            </w:pPr>
            <w:r>
              <w:rPr>
                <w:caps w:val="false"/>
                <w:smallCaps w:val="false"/>
              </w:rPr>
              <w:t> </w:t>
            </w:r>
          </w:p>
        </w:tc>
        <w:tc>
          <w:tcPr>
            <w:tcW w:w="304"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1" w:type="dxa"/>
            <w:tcBorders/>
            <w:shd w:fill="CCEEFF" w:val="clear"/>
            <w:vAlign w:val="center"/>
          </w:tcPr>
          <w:p>
            <w:pPr>
              <w:pStyle w:val="TableContents"/>
              <w:spacing w:before="0" w:after="283"/>
              <w:rPr/>
            </w:pPr>
            <w:hyperlink w:anchor="Ha_004">
              <w:r>
                <w:rPr>
                  <w:rStyle w:val="InternetLink"/>
                  <w:rFonts w:ascii="Times New Roman;Times;Serif" w:hAnsi="Times New Roman;Times;Serif"/>
                  <w:b w:val="false"/>
                  <w:i w:val="false"/>
                  <w:caps w:val="false"/>
                  <w:smallCaps w:val="false"/>
                  <w:sz w:val="20"/>
                </w:rPr>
                <w:t>Consolidated Statements of Stockholders’ Equity for the twelve months ended December 31, 2022 and 2021</w:t>
              </w:r>
            </w:hyperlink>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01" w:type="dxa"/>
            <w:tcBorders/>
            <w:shd w:fill="FFFFFF" w:val="clear"/>
            <w:vAlign w:val="center"/>
          </w:tcPr>
          <w:p>
            <w:pPr>
              <w:pStyle w:val="TableContents"/>
              <w:spacing w:before="0" w:after="283"/>
              <w:rPr>
                <w:caps w:val="false"/>
                <w:smallCaps w:val="false"/>
              </w:rPr>
            </w:pPr>
            <w:r>
              <w:rPr>
                <w:caps w:val="false"/>
                <w:smallCaps w:val="false"/>
              </w:rPr>
              <w:t> </w:t>
            </w:r>
          </w:p>
        </w:tc>
        <w:tc>
          <w:tcPr>
            <w:tcW w:w="304"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1" w:type="dxa"/>
            <w:tcBorders/>
            <w:shd w:fill="CCEEFF" w:val="clear"/>
            <w:vAlign w:val="center"/>
          </w:tcPr>
          <w:p>
            <w:pPr>
              <w:pStyle w:val="TableContents"/>
              <w:spacing w:before="0" w:after="283"/>
              <w:rPr/>
            </w:pPr>
            <w:hyperlink w:anchor="Ha_005">
              <w:r>
                <w:rPr>
                  <w:rStyle w:val="InternetLink"/>
                  <w:rFonts w:ascii="Times New Roman;Times;Serif" w:hAnsi="Times New Roman;Times;Serif"/>
                  <w:b w:val="false"/>
                  <w:i w:val="false"/>
                  <w:caps w:val="false"/>
                  <w:smallCaps w:val="false"/>
                  <w:sz w:val="20"/>
                </w:rPr>
                <w:t>Consolidated Statements of Cash Flows for the twelve months ended December 31, 2022 and 2021</w:t>
              </w:r>
            </w:hyperlink>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901" w:type="dxa"/>
            <w:tcBorders/>
            <w:shd w:fill="FFFFFF" w:val="clear"/>
            <w:vAlign w:val="center"/>
          </w:tcPr>
          <w:p>
            <w:pPr>
              <w:pStyle w:val="TableContents"/>
              <w:spacing w:before="0" w:after="283"/>
              <w:rPr>
                <w:caps w:val="false"/>
                <w:smallCaps w:val="false"/>
              </w:rPr>
            </w:pPr>
            <w:r>
              <w:rPr>
                <w:caps w:val="false"/>
                <w:smallCaps w:val="false"/>
              </w:rPr>
              <w:t> </w:t>
            </w:r>
          </w:p>
        </w:tc>
        <w:tc>
          <w:tcPr>
            <w:tcW w:w="304"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1" w:type="dxa"/>
            <w:tcBorders/>
            <w:shd w:fill="CCEEFF" w:val="clear"/>
            <w:vAlign w:val="center"/>
          </w:tcPr>
          <w:p>
            <w:pPr>
              <w:pStyle w:val="TableContents"/>
              <w:spacing w:before="0" w:after="283"/>
              <w:rPr/>
            </w:pPr>
            <w:hyperlink w:anchor="Ha_006">
              <w:r>
                <w:rPr>
                  <w:rStyle w:val="InternetLink"/>
                  <w:rFonts w:ascii="Times New Roman;Times;Serif" w:hAnsi="Times New Roman;Times;Serif"/>
                  <w:b w:val="false"/>
                  <w:i w:val="false"/>
                  <w:caps w:val="false"/>
                  <w:smallCaps w:val="false"/>
                  <w:sz w:val="20"/>
                </w:rPr>
                <w:t>Notes to Audited Consolidated Financial Statements</w:t>
              </w:r>
            </w:hyperlink>
          </w:p>
        </w:tc>
        <w:tc>
          <w:tcPr>
            <w:tcW w:w="304"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F-1</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60" w:name="Ha_001"/>
      <w:bookmarkEnd w:id="60"/>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Hour Loop,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Hour Loop, Inc (the Company) as of December 31, 2022 and 2021, and the related consolidated statements of operations and comprehensive income (loss), stockholders’ equity, and cash flows for the years ended December 31, 2022 and 2021, and the related notes (collectively referred to as the financial statements). In our opinion, the financial statements present fairly, in all material respects, the consolidated financial position of the Company as of December 31, 2022 and 2021, and the consolidated results of its operations and its cash flows for the years December 31, 2022 and 2021, in conformity with accounting principles generally accepted in the United States of America.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negative cash flow from operating activities and net loss, that raises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jc w:val="both"/>
        <w:rPr>
          <w:caps w:val="false"/>
          <w:smallCaps w:val="false"/>
        </w:rPr>
      </w:pPr>
      <w:r>
        <w:rPr>
          <w:caps w:val="false"/>
          <w:smallCaps w:val="false"/>
        </w:rPr>
        <w:t> </w:t>
      </w:r>
    </w:p>
    <w:tbl>
      <w:tblPr>
        <w:tblW w:w="4369" w:type="dxa"/>
        <w:jc w:val="left"/>
        <w:tblInd w:w="0" w:type="dxa"/>
        <w:tblCellMar>
          <w:top w:w="0" w:type="dxa"/>
          <w:left w:w="0" w:type="dxa"/>
          <w:bottom w:w="0" w:type="dxa"/>
          <w:right w:w="0" w:type="dxa"/>
        </w:tblCellMar>
      </w:tblPr>
      <w:tblGrid>
        <w:gridCol w:w="4136"/>
        <w:gridCol w:w="233"/>
      </w:tblGrid>
      <w:tr>
        <w:trPr/>
        <w:tc>
          <w:tcPr>
            <w:tcW w:w="4369" w:type="dxa"/>
            <w:gridSpan w:val="2"/>
            <w:tcBorders/>
            <w:shd w:fill="auto"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TPS Thayer, LLC</w:t>
            </w:r>
          </w:p>
        </w:tc>
      </w:tr>
      <w:tr>
        <w:trPr/>
        <w:tc>
          <w:tcPr>
            <w:tcW w:w="4369"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4369"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bookmarkStart w:id="61" w:name="xdx_901_edei--AuditorName_c20220101__202"/>
            <w:bookmarkEnd w:id="61"/>
            <w:r>
              <w:rPr>
                <w:rFonts w:ascii="Times New Roman;Times;Serif" w:hAnsi="Times New Roman;Times;Serif"/>
                <w:b w:val="false"/>
                <w:i w:val="false"/>
                <w:caps w:val="false"/>
                <w:smallCaps w:val="false"/>
                <w:sz w:val="20"/>
              </w:rPr>
              <w:t>TPS Thayer, LLC</w:t>
            </w:r>
          </w:p>
        </w:tc>
      </w:tr>
      <w:tr>
        <w:trPr/>
        <w:tc>
          <w:tcPr>
            <w:tcW w:w="4136" w:type="dxa"/>
            <w:tcBorders/>
            <w:shd w:fill="auto" w:val="clear"/>
            <w:vAlign w:val="center"/>
          </w:tcPr>
          <w:p>
            <w:pPr>
              <w:pStyle w:val="TableContents"/>
              <w:spacing w:before="0" w:after="283"/>
              <w:rPr>
                <w:caps w:val="false"/>
                <w:smallCaps w:val="false"/>
              </w:rPr>
            </w:pPr>
            <w:r>
              <w:rPr>
                <w:caps w:val="false"/>
                <w:smallCaps w:val="false"/>
              </w:rPr>
              <w:t> </w:t>
            </w:r>
          </w:p>
        </w:tc>
        <w:tc>
          <w:tcPr>
            <w:tcW w:w="23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36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tc>
      </w:tr>
      <w:tr>
        <w:trPr/>
        <w:tc>
          <w:tcPr>
            <w:tcW w:w="4136" w:type="dxa"/>
            <w:tcBorders/>
            <w:shd w:fill="auto" w:val="clear"/>
            <w:vAlign w:val="center"/>
          </w:tcPr>
          <w:p>
            <w:pPr>
              <w:pStyle w:val="TableContents"/>
              <w:spacing w:before="0" w:after="283"/>
              <w:rPr>
                <w:caps w:val="false"/>
                <w:smallCaps w:val="false"/>
              </w:rPr>
            </w:pPr>
            <w:r>
              <w:rPr>
                <w:caps w:val="false"/>
                <w:smallCaps w:val="false"/>
              </w:rPr>
              <w:t> </w:t>
            </w:r>
          </w:p>
        </w:tc>
        <w:tc>
          <w:tcPr>
            <w:tcW w:w="23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36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62" w:name="xdx_90D_edei--AuditorLocation_c20220101_"/>
            <w:bookmarkEnd w:id="62"/>
            <w:r>
              <w:rPr>
                <w:rFonts w:ascii="Times New Roman;Times;Serif" w:hAnsi="Times New Roman;Times;Serif"/>
                <w:b w:val="false"/>
                <w:i w:val="false"/>
                <w:caps w:val="false"/>
                <w:smallCaps w:val="false"/>
                <w:sz w:val="20"/>
              </w:rPr>
              <w:t>Sugar Land, TX</w:t>
            </w:r>
          </w:p>
        </w:tc>
      </w:tr>
      <w:tr>
        <w:trPr/>
        <w:tc>
          <w:tcPr>
            <w:tcW w:w="4136" w:type="dxa"/>
            <w:tcBorders/>
            <w:shd w:fill="auto" w:val="clear"/>
            <w:vAlign w:val="center"/>
          </w:tcPr>
          <w:p>
            <w:pPr>
              <w:pStyle w:val="TableContents"/>
              <w:spacing w:before="0" w:after="283"/>
              <w:rPr>
                <w:caps w:val="false"/>
                <w:smallCaps w:val="false"/>
              </w:rPr>
            </w:pPr>
            <w:r>
              <w:rPr>
                <w:caps w:val="false"/>
                <w:smallCaps w:val="false"/>
              </w:rPr>
              <w:t> </w:t>
            </w:r>
          </w:p>
        </w:tc>
        <w:tc>
          <w:tcPr>
            <w:tcW w:w="23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2023</w:t>
            </w:r>
          </w:p>
        </w:tc>
        <w:tc>
          <w:tcPr>
            <w:tcW w:w="233"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F-2</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3" w:name="Ha_002"/>
      <w:bookmarkEnd w:id="63"/>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shares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64" w:name="xdx_301_111_zsf6CN9i2b2c"/>
      <w:bookmarkStart w:id="65" w:name="xdx_301_111_zsf6CN9i2b2c"/>
      <w:bookmarkEnd w:id="65"/>
    </w:p>
    <w:tbl>
      <w:tblPr>
        <w:tblW w:w="10205" w:type="dxa"/>
        <w:jc w:val="left"/>
        <w:tblInd w:w="0" w:type="dxa"/>
        <w:tblCellMar>
          <w:top w:w="0" w:type="dxa"/>
          <w:left w:w="0" w:type="dxa"/>
          <w:bottom w:w="0" w:type="dxa"/>
          <w:right w:w="0" w:type="dxa"/>
        </w:tblCellMar>
      </w:tblPr>
      <w:tblGrid>
        <w:gridCol w:w="7666"/>
        <w:gridCol w:w="60"/>
        <w:gridCol w:w="130"/>
        <w:gridCol w:w="991"/>
        <w:gridCol w:w="80"/>
        <w:gridCol w:w="60"/>
        <w:gridCol w:w="130"/>
        <w:gridCol w:w="991"/>
        <w:gridCol w:w="97"/>
      </w:tblGrid>
      <w:tr>
        <w:trPr/>
        <w:tc>
          <w:tcPr>
            <w:tcW w:w="76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66" w:name="xdx_497_20221231_z6xeYXsuFzH3"/>
            <w:bookmarkEnd w:id="66"/>
          </w:p>
        </w:tc>
        <w:tc>
          <w:tcPr>
            <w:tcW w:w="1121"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67" w:name="xdx_492_20211231_z5UD2H9HHVai"/>
            <w:bookmarkEnd w:id="67"/>
          </w:p>
        </w:tc>
        <w:tc>
          <w:tcPr>
            <w:tcW w:w="1121"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6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6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1"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1"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7" w:type="dxa"/>
            <w:tcBorders/>
            <w:shd w:fill="auto" w:val="clear"/>
            <w:vAlign w:val="center"/>
          </w:tcPr>
          <w:p>
            <w:pPr>
              <w:pStyle w:val="TableContents"/>
              <w:spacing w:before="0" w:after="283"/>
              <w:rPr>
                <w:caps w:val="false"/>
                <w:smallCaps w:val="false"/>
              </w:rPr>
            </w:pPr>
            <w:r>
              <w:rPr>
                <w:caps w:val="false"/>
                <w:smallCaps w:val="false"/>
              </w:rPr>
              <w:t> </w:t>
            </w:r>
            <w:bookmarkStart w:id="68" w:name="xdx_40A_eus-gaap--AssetsAbstract_iB_z3kD"/>
            <w:bookmarkEnd w:id="68"/>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69" w:name="xdx_40A_eus-gaap--AssetsCurrentAbstract_"/>
            <w:bookmarkEnd w:id="69"/>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0" w:name="xdx_400_eus-gaap--CashAndCashEquivalents"/>
            <w:bookmarkEnd w:id="70"/>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4,562,589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10,592,572</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71" w:name="xdx_409_eus-gaap--AccountsReceivableNetC"/>
            <w:bookmarkEnd w:id="71"/>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352,379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125,991</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2" w:name="xdx_405_eus-gaap--InventoryNet_i02I_pp0p"/>
            <w:bookmarkEnd w:id="72"/>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18,801,529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7,041,864</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73" w:name="xdx_406_eus-gaap--PrepaidExpenseAndOther"/>
            <w:bookmarkEnd w:id="73"/>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741,243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965,298</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4" w:name="xdx_403_eus-gaap--AssetsCurrent_i02TI_pp"/>
            <w:bookmarkEnd w:id="74"/>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24,457,740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18,725,725</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5" w:name="xdx_400_eus-gaap--PropertyPlantAndEquipm"/>
            <w:bookmarkEnd w:id="75"/>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274,195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15,667</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76" w:name="xdx_406_eus-gaap--DeferredIncomeTaxAsset"/>
            <w:bookmarkEnd w:id="76"/>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549,320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45,488</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7" w:name="xdx_40D_eus-gaap--OperatingLeaseRightOfU"/>
            <w:bookmarkEnd w:id="77"/>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lease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450,721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30,111</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8" w:name="xdx_403_eus-gaap--Assets_i01TI_pp0p0_mtA"/>
            <w:bookmarkEnd w:id="78"/>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25,731,976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18,816,991</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79" w:name="xdx_409_eus-gaap--LiabilitiesAndStockhol"/>
            <w:bookmarkEnd w:id="79"/>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80" w:name="xdx_406_eus-gaap--LiabilitiesCurrentAbst"/>
            <w:bookmarkEnd w:id="80"/>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81" w:name="xdx_407_eus-gaap--LinesOfCreditCurrent_i"/>
            <w:bookmarkEnd w:id="81"/>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652,316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82" w:name="xdx_403_eus-gaap--AccountsPayableCurrent"/>
            <w:bookmarkEnd w:id="82"/>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11,883,253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9,539,258</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83" w:name="xdx_403_eus-gaap--AccruedLiabilitiesAndO"/>
            <w:bookmarkEnd w:id="83"/>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1,583,930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1,282,161</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84" w:name="xdx_406_eus-gaap--DueToRelatedPartiesCur"/>
            <w:bookmarkEnd w:id="84"/>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5,214,794</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85" w:name="xdx_40B_eus-gaap--TaxesPayableCurrent_i0"/>
            <w:bookmarkEnd w:id="85"/>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126,333</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86" w:name="xdx_40B_eus-gaap--OperatingLeaseLiabilit"/>
            <w:bookmarkEnd w:id="86"/>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liabilities-current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385,216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87" w:name="xdx_40A_eus-gaap--LiabilitiesCurrent_i02"/>
            <w:bookmarkEnd w:id="87"/>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14,504,715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16,162,546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88" w:name="xdx_400_eus-gaap--AssetsNoncurrentAbstra"/>
            <w:bookmarkEnd w:id="88"/>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89" w:name="xdx_407_eus-gaap--OperatingLeaseLiabilit"/>
            <w:bookmarkEnd w:id="89"/>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liabilities-non-current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64,945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90" w:name="xdx_40B_eus-gaap--DueToRelatedPartiesNon"/>
            <w:bookmarkEnd w:id="90"/>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4,329,460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91" w:name="xdx_406_eus-gaap--LiabilitiesNoncurrent_"/>
            <w:bookmarkEnd w:id="91"/>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4,394,405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92" w:name="xdx_409_eus-gaap--Liabilities_i01TI_pp0p"/>
            <w:bookmarkEnd w:id="92"/>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18,899,120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16,162,546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93" w:name="xdx_40B_eus-gaap--CommitmentsAndContinge"/>
            <w:bookmarkEnd w:id="93"/>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94" w:name="xdx_402_eus-gaap--StockholdersEquityAbst"/>
            <w:bookmarkEnd w:id="94"/>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95" w:name="xdx_408_eus-gaap--PreferredStockValue_i0"/>
            <w:bookmarkEnd w:id="95"/>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w:t>
            </w:r>
            <w:bookmarkStart w:id="96" w:name="xdx_907_eus-gaap--PreferredStockParOrSta"/>
            <w:bookmarkStart w:id="97" w:name="xdx_90D_eus-gaap--PreferredStockParOrSta"/>
            <w:bookmarkEnd w:id="96"/>
            <w:bookmarkEnd w:id="97"/>
            <w:r>
              <w:rPr>
                <w:rFonts w:ascii="Times New Roman;Times;Serif" w:hAnsi="Times New Roman;Times;Serif"/>
                <w:b w:val="false"/>
                <w:i w:val="false"/>
                <w:caps w:val="false"/>
                <w:smallCaps w:val="false"/>
                <w:sz w:val="20"/>
              </w:rPr>
              <w:t xml:space="preserve">0.0001 par value, </w:t>
            </w:r>
            <w:bookmarkStart w:id="98" w:name="xdx_90B_eus-gaap--PreferredStockSharesAu"/>
            <w:bookmarkStart w:id="99" w:name="xdx_90F_eus-gaap--PreferredStockSharesAu"/>
            <w:bookmarkEnd w:id="98"/>
            <w:bookmarkEnd w:id="99"/>
            <w:r>
              <w:rPr>
                <w:rFonts w:ascii="Times New Roman;Times;Serif" w:hAnsi="Times New Roman;Times;Serif"/>
                <w:b w:val="false"/>
                <w:i w:val="false"/>
                <w:caps w:val="false"/>
                <w:smallCaps w:val="false"/>
                <w:sz w:val="20"/>
              </w:rPr>
              <w:t xml:space="preserve">10,000,000 shares authorized, </w:t>
            </w:r>
            <w:bookmarkStart w:id="100" w:name="xdx_90A_eus-gaap--PreferredStockSharesOu"/>
            <w:bookmarkStart w:id="101" w:name="xdx_904_eus-gaap--PreferredStockSharesIs"/>
            <w:bookmarkStart w:id="102" w:name="xdx_907_eus-gaap--PreferredStockSharesOu"/>
            <w:bookmarkStart w:id="103" w:name="xdx_90D_eus-gaap--PreferredStockSharesIs"/>
            <w:bookmarkEnd w:id="100"/>
            <w:bookmarkEnd w:id="101"/>
            <w:bookmarkEnd w:id="102"/>
            <w:bookmarkEnd w:id="103"/>
            <w:r>
              <w:rPr>
                <w:rFonts w:ascii="Times New Roman;Times;Serif" w:hAnsi="Times New Roman;Times;Serif"/>
                <w:b w:val="false"/>
                <w:i w:val="false"/>
                <w:caps w:val="false"/>
                <w:smallCaps w:val="false"/>
                <w:sz w:val="20"/>
              </w:rPr>
              <w:t>none issued and outstanding as of December 31, 2022 and 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104" w:name="xdx_40F_eus-gaap--CommonStockValue_i02I_"/>
            <w:bookmarkEnd w:id="104"/>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t>
            </w:r>
            <w:bookmarkStart w:id="105" w:name="xdx_907_eus-gaap--CommonStockParOrStated"/>
            <w:bookmarkStart w:id="106" w:name="xdx_90F_eus-gaap--CommonStockParOrStated"/>
            <w:bookmarkEnd w:id="105"/>
            <w:bookmarkEnd w:id="106"/>
            <w:r>
              <w:rPr>
                <w:rFonts w:ascii="Times New Roman;Times;Serif" w:hAnsi="Times New Roman;Times;Serif"/>
                <w:b w:val="false"/>
                <w:i w:val="false"/>
                <w:caps w:val="false"/>
                <w:smallCaps w:val="false"/>
                <w:sz w:val="20"/>
              </w:rPr>
              <w:t xml:space="preserve">0.0001 par value, </w:t>
            </w:r>
            <w:bookmarkStart w:id="107" w:name="xdx_90B_eus-gaap--CommonStockSharesAutho"/>
            <w:bookmarkStart w:id="108" w:name="xdx_90B_eus-gaap--CommonStockSharesAutho"/>
            <w:bookmarkEnd w:id="107"/>
            <w:bookmarkEnd w:id="108"/>
            <w:r>
              <w:rPr>
                <w:rFonts w:ascii="Times New Roman;Times;Serif" w:hAnsi="Times New Roman;Times;Serif"/>
                <w:b w:val="false"/>
                <w:i w:val="false"/>
                <w:caps w:val="false"/>
                <w:smallCaps w:val="false"/>
                <w:sz w:val="20"/>
              </w:rPr>
              <w:t xml:space="preserve">300,000,000 shares authorized, </w:t>
            </w:r>
            <w:bookmarkStart w:id="109" w:name="xdx_908_eus-gaap--CommonStockSharesOutst"/>
            <w:bookmarkStart w:id="110" w:name="xdx_902_eus-gaap--CommonStockSharesIssue"/>
            <w:bookmarkEnd w:id="109"/>
            <w:bookmarkEnd w:id="110"/>
            <w:r>
              <w:rPr>
                <w:rFonts w:ascii="Times New Roman;Times;Serif" w:hAnsi="Times New Roman;Times;Serif"/>
                <w:b w:val="false"/>
                <w:i w:val="false"/>
                <w:caps w:val="false"/>
                <w:smallCaps w:val="false"/>
                <w:sz w:val="20"/>
              </w:rPr>
              <w:t xml:space="preserve">35,047,828 and </w:t>
            </w:r>
            <w:bookmarkStart w:id="111" w:name="xdx_90F_eus-gaap--CommonStockSharesOutst"/>
            <w:bookmarkStart w:id="112" w:name="xdx_906_eus-gaap--CommonStockSharesIssue"/>
            <w:bookmarkEnd w:id="111"/>
            <w:bookmarkEnd w:id="112"/>
            <w:r>
              <w:rPr>
                <w:rFonts w:ascii="Times New Roman;Times;Serif" w:hAnsi="Times New Roman;Times;Serif"/>
                <w:b w:val="false"/>
                <w:i w:val="false"/>
                <w:caps w:val="false"/>
                <w:smallCaps w:val="false"/>
                <w:sz w:val="20"/>
              </w:rPr>
              <w:t>33,300,000 shares issued and outstanding as of December 31, 2022 and 2021,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113" w:name="xdx_400_eus-gaap--AdditionalPaidInCapita"/>
            <w:bookmarkEnd w:id="113"/>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5,675,320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4,291</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114" w:name="xdx_40B_eus-gaap--RetainedEarningsAccumu"/>
            <w:bookmarkEnd w:id="114"/>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1,177,072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2,654,695</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bookmarkStart w:id="115" w:name="xdx_403_eus-gaap--AccumulatedOtherCompre"/>
            <w:bookmarkEnd w:id="115"/>
          </w:p>
        </w:tc>
      </w:tr>
      <w:tr>
        <w:trPr/>
        <w:tc>
          <w:tcPr>
            <w:tcW w:w="76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(7,871</w:t>
            </w:r>
          </w:p>
        </w:tc>
        <w:tc>
          <w:tcPr>
            <w:tcW w:w="9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6" w:name="xdx_401_eus-gaap--StockholdersEquity_i02"/>
            <w:bookmarkEnd w:id="116"/>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6,832,856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2,654,445</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6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bookmarkStart w:id="117" w:name="xdx_40C_eus-gaap--LiabilitiesAndStockhol"/>
            <w:bookmarkEnd w:id="117"/>
          </w:p>
        </w:tc>
      </w:tr>
      <w:tr>
        <w:trPr/>
        <w:tc>
          <w:tcPr>
            <w:tcW w:w="766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25,731,976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18,816,991</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F-3</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18" w:name="Ha_003"/>
      <w:bookmarkEnd w:id="118"/>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(LOSS)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shares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2022 and 2021</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119" w:name="xdx_30C_113_zWfhSHbB2UX2"/>
      <w:bookmarkStart w:id="120" w:name="xdx_30C_113_zWfhSHbB2UX2"/>
      <w:bookmarkEnd w:id="120"/>
    </w:p>
    <w:tbl>
      <w:tblPr>
        <w:tblW w:w="7265" w:type="dxa"/>
        <w:jc w:val="left"/>
        <w:tblInd w:w="0" w:type="dxa"/>
        <w:tblCellMar>
          <w:top w:w="0" w:type="dxa"/>
          <w:left w:w="0" w:type="dxa"/>
          <w:bottom w:w="0" w:type="dxa"/>
          <w:right w:w="0" w:type="dxa"/>
        </w:tblCellMar>
      </w:tblPr>
      <w:tblGrid>
        <w:gridCol w:w="4700"/>
        <w:gridCol w:w="60"/>
        <w:gridCol w:w="125"/>
        <w:gridCol w:w="1010"/>
        <w:gridCol w:w="80"/>
        <w:gridCol w:w="60"/>
        <w:gridCol w:w="125"/>
        <w:gridCol w:w="1010"/>
        <w:gridCol w:w="95"/>
      </w:tblGrid>
      <w:tr>
        <w:trPr/>
        <w:tc>
          <w:tcPr>
            <w:tcW w:w="47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21" w:name="xdx_496_20220101__20221231_z8scxIcixSZg"/>
            <w:bookmarkEnd w:id="121"/>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22" w:name="xdx_49C_20210101__20211231_zVHPfHdqZXbc"/>
            <w:bookmarkEnd w:id="122"/>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7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123" w:name="xdx_40C_eus-gaap--RevenueFromContractWit"/>
            <w:bookmarkEnd w:id="123"/>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95,930,091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62,792,981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24" w:name="xdx_40A_eus-gaap--CostOfGoodsAndServices"/>
            <w:bookmarkEnd w:id="124"/>
          </w:p>
        </w:tc>
      </w:tr>
      <w:tr>
        <w:trPr/>
        <w:tc>
          <w:tcPr>
            <w:tcW w:w="4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(46,942,770</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(27,984,335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25" w:name="xdx_40D_eus-gaap--GrossProfit_iT_pp0p0_m"/>
            <w:bookmarkEnd w:id="125"/>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48,987,321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34,808,646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26" w:name="xdx_40A_eus-gaap--OperatingExpensesAbstr"/>
            <w:bookmarkEnd w:id="126"/>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27" w:name="xdx_40C_eus-gaap--SellingAndMarketingExp"/>
            <w:bookmarkEnd w:id="127"/>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42,221,425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25,098,497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28" w:name="xdx_404_eus-gaap--GeneralAndAdministrati"/>
            <w:bookmarkEnd w:id="128"/>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8,685,254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4,236,000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29" w:name="xdx_408_eus-gaap--OperatingExpenses_i01T"/>
            <w:bookmarkEnd w:id="129"/>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50,906,679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29,334,497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30" w:name="xdx_403_eus-gaap--OperatingIncomeLoss_iT"/>
            <w:bookmarkEnd w:id="130"/>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(1,919,358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5,474,149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31" w:name="xdx_404_eus-gaap--OtherNonoperatingIncom"/>
            <w:bookmarkEnd w:id="131"/>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32" w:name="xdx_408_eus-gaap--OtherExpenses_i01N_di_"/>
            <w:bookmarkEnd w:id="132"/>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(17,520</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(12,299</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3" w:name="xdx_40A_eus-gaap--InterestExpense_i01N_d"/>
            <w:bookmarkEnd w:id="133"/>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(144,479</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(56,509</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4" w:name="xdx_40F_eus-gaap--OtherNonoperatingIncom"/>
            <w:bookmarkEnd w:id="134"/>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141,571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87,637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35" w:name="xdx_40C_eus-gaap--NonoperatingIncomeExpe"/>
            <w:bookmarkEnd w:id="135"/>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income,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(20,428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18,829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36" w:name="xdx_401_eus-gaap--IncomeLossFromContinui"/>
            <w:bookmarkEnd w:id="136"/>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(1,939,786</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5,492,978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37" w:name="xdx_403_eus-gaap--IncomeTaxExpenseBenefi"/>
            <w:bookmarkEnd w:id="137"/>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462,163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(709,205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38" w:name="xdx_408_eus-gaap--NetIncomeLoss_iT_pp0p0"/>
            <w:bookmarkEnd w:id="138"/>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(1,477,623</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4,783,773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39" w:name="xdx_408_eus-gaap--ComprehensiveIncomeNet"/>
            <w:bookmarkEnd w:id="139"/>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40" w:name="xdx_40C_eus-gaap--OtherComprehensiveInco"/>
            <w:bookmarkEnd w:id="140"/>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(15,171</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41" w:name="xdx_407_eus-gaap--ComprehensiveIncomeNet"/>
            <w:bookmarkEnd w:id="141"/>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(1,492,794</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4,779,083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42" w:name="xdx_405_eus-gaap--EarningsPerShareBasic_"/>
            <w:bookmarkEnd w:id="142"/>
          </w:p>
        </w:tc>
      </w:tr>
      <w:tr>
        <w:trPr/>
        <w:tc>
          <w:tcPr>
            <w:tcW w:w="4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income per common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43" w:name="xdx_400_eus-gaap--WeightedAverageNumberO"/>
            <w:bookmarkEnd w:id="143"/>
          </w:p>
        </w:tc>
      </w:tr>
      <w:tr>
        <w:trPr/>
        <w:tc>
          <w:tcPr>
            <w:tcW w:w="4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common shares outstanding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34,991,666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33,300,000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F-4</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44" w:name="Ha_004"/>
      <w:bookmarkEnd w:id="144"/>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shares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2022 and 2021</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145" w:name="xdx_303_114_zFbRTuWfr968"/>
      <w:bookmarkStart w:id="146" w:name="xdx_303_114_zFbRTuWfr968"/>
      <w:bookmarkEnd w:id="146"/>
    </w:p>
    <w:tbl>
      <w:tblPr>
        <w:tblW w:w="9050" w:type="dxa"/>
        <w:jc w:val="left"/>
        <w:tblInd w:w="0" w:type="dxa"/>
        <w:tblCellMar>
          <w:top w:w="0" w:type="dxa"/>
          <w:left w:w="0" w:type="dxa"/>
          <w:bottom w:w="0" w:type="dxa"/>
          <w:right w:w="0" w:type="dxa"/>
        </w:tblCellMar>
      </w:tblPr>
      <w:tblGrid>
        <w:gridCol w:w="2705"/>
        <w:gridCol w:w="60"/>
        <w:gridCol w:w="60"/>
        <w:gridCol w:w="830"/>
        <w:gridCol w:w="60"/>
        <w:gridCol w:w="60"/>
        <w:gridCol w:w="139"/>
        <w:gridCol w:w="541"/>
        <w:gridCol w:w="60"/>
        <w:gridCol w:w="60"/>
        <w:gridCol w:w="110"/>
        <w:gridCol w:w="740"/>
        <w:gridCol w:w="60"/>
        <w:gridCol w:w="60"/>
        <w:gridCol w:w="110"/>
        <w:gridCol w:w="800"/>
        <w:gridCol w:w="80"/>
        <w:gridCol w:w="60"/>
        <w:gridCol w:w="181"/>
        <w:gridCol w:w="949"/>
        <w:gridCol w:w="80"/>
        <w:gridCol w:w="60"/>
        <w:gridCol w:w="110"/>
        <w:gridCol w:w="980"/>
        <w:gridCol w:w="95"/>
      </w:tblGrid>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47" w:name="xdx_4B7_us-gaap--StatementEquityComponen"/>
            <w:bookmarkEnd w:id="147"/>
          </w:p>
        </w:tc>
        <w:tc>
          <w:tcPr>
            <w:tcW w:w="6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48" w:name="xdx_4BE_us-gaap--StatementEquityComponen"/>
            <w:bookmarkEnd w:id="148"/>
          </w:p>
        </w:tc>
        <w:tc>
          <w:tcPr>
            <w:tcW w:w="8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49" w:name="xdx_4B0_us-gaap--StatementEquityComponen"/>
            <w:bookmarkEnd w:id="149"/>
          </w:p>
        </w:tc>
        <w:tc>
          <w:tcPr>
            <w:tcW w:w="9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Earnings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50" w:name="xdx_4B5_us-gaap--StatementEquityComponen"/>
            <w:bookmarkEnd w:id="150"/>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 Income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51" w:name="xdx_4B6_zi45mr4Ubti9"/>
            <w:bookmarkEnd w:id="151"/>
          </w:p>
        </w:tc>
        <w:tc>
          <w:tcPr>
            <w:tcW w:w="10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Retained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Earnings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152" w:name="xdx_437_c20210101__20211231_eus-gaap--St"/>
            <w:bookmarkEnd w:id="152"/>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bookmarkStart w:id="153" w:name="xdx_986_eus-gaap--SharesOutstanding_iS_p"/>
            <w:bookmarkEnd w:id="153"/>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33,300,000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4,173,340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4,174,980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54" w:name="xdx_409_eus-gaap--AdjustmentsToAdditiona"/>
            <w:bookmarkEnd w:id="154"/>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Contribution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55" w:name="xdx_40A_ecustom--AccumulatedDistribution"/>
            <w:bookmarkEnd w:id="155"/>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Distribution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(6,302,418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(6,302,418</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56" w:name="xdx_408_eus-gaap--OtherComprehensiveInco"/>
            <w:bookmarkEnd w:id="156"/>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Currency translation adjustments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57" w:name="xdx_408_eus-gaap--NetIncomeLoss_zYikiwwD"/>
            <w:bookmarkEnd w:id="157"/>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4,783,773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4,783,773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58" w:name="xdx_437_c20220101__20221231_eus-gaap--St"/>
            <w:bookmarkEnd w:id="158"/>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bookmarkStart w:id="159" w:name="xdx_98A_eus-gaap--SharesOutstanding_iS_p"/>
            <w:bookmarkEnd w:id="159"/>
          </w:p>
        </w:tc>
        <w:tc>
          <w:tcPr>
            <w:tcW w:w="83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33,300,000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2,654,695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4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2,654,445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60" w:name="xdx_40D_eus-gaap--StockIssuedDuringPerio"/>
            <w:bookmarkEnd w:id="160"/>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Issuance of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bookmarkStart w:id="161" w:name="xdx_982_eus-gaap--StockIssuedDuringPerio"/>
            <w:bookmarkEnd w:id="161"/>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5,580,020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5,580,192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62" w:name="xdx_404_eus-gaap--StockIssuedDuringPerio"/>
            <w:bookmarkEnd w:id="162"/>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Stock-based compensation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bookmarkStart w:id="163" w:name="xdx_985_eus-gaap--StockIssuedDuringPerio"/>
            <w:bookmarkEnd w:id="163"/>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22,828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91,009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91,013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64" w:name="xdx_403_eus-gaap--OtherComprehensiveInco"/>
            <w:bookmarkEnd w:id="164"/>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Currency translation adjustments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(15,171</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65" w:name="xdx_402_eus-gaap--NetIncomeLoss_zEexdXNY"/>
            <w:bookmarkEnd w:id="165"/>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(1,477,623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(1,477,623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66" w:name="xdx_432_c20220101__20221231_eus-gaap--St"/>
            <w:bookmarkEnd w:id="166"/>
          </w:p>
        </w:tc>
      </w:tr>
      <w:tr>
        <w:trPr/>
        <w:tc>
          <w:tcPr>
            <w:tcW w:w="2705" w:type="dxa"/>
            <w:tcBorders/>
            <w:shd w:fill="CCEEFF"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bookmarkStart w:id="167" w:name="xdx_987_eus-gaap--SharesOutstanding_iE_c"/>
            <w:bookmarkEnd w:id="167"/>
          </w:p>
        </w:tc>
        <w:tc>
          <w:tcPr>
            <w:tcW w:w="83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35,047,828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5,675,320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1,177,072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4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(23,042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6,832,856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F-5</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68" w:name="Ha_005"/>
      <w:bookmarkEnd w:id="168"/>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2022 and 2021</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169" w:name="xdx_306_112_zR8sNv4WzPBg"/>
      <w:bookmarkStart w:id="170" w:name="xdx_306_112_zR8sNv4WzPBg"/>
      <w:bookmarkEnd w:id="170"/>
    </w:p>
    <w:tbl>
      <w:tblPr>
        <w:tblW w:w="10205" w:type="dxa"/>
        <w:jc w:val="left"/>
        <w:tblInd w:w="0" w:type="dxa"/>
        <w:tblCellMar>
          <w:top w:w="0" w:type="dxa"/>
          <w:left w:w="0" w:type="dxa"/>
          <w:bottom w:w="0" w:type="dxa"/>
          <w:right w:w="0" w:type="dxa"/>
        </w:tblCellMar>
      </w:tblPr>
      <w:tblGrid>
        <w:gridCol w:w="7700"/>
        <w:gridCol w:w="60"/>
        <w:gridCol w:w="125"/>
        <w:gridCol w:w="1010"/>
        <w:gridCol w:w="80"/>
        <w:gridCol w:w="60"/>
        <w:gridCol w:w="125"/>
        <w:gridCol w:w="950"/>
        <w:gridCol w:w="95"/>
      </w:tblGrid>
      <w:tr>
        <w:trPr/>
        <w:tc>
          <w:tcPr>
            <w:tcW w:w="77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71" w:name="xdx_494_20220101__20221231_zmDebE4zyly3"/>
            <w:bookmarkEnd w:id="171"/>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72" w:name="xdx_496_20210101__20211231_zVq8jeUJeRfc"/>
            <w:bookmarkEnd w:id="172"/>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7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173" w:name="xdx_405_eus-gaap--NetCashProvidedByUsedI"/>
            <w:bookmarkEnd w:id="173"/>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74" w:name="xdx_40D_eus-gaap--NetIncomeLoss_i01_maNC"/>
            <w:bookmarkEnd w:id="174"/>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(1,477,623</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4,783,773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75" w:name="xdx_40D_eus-gaap--AdjustmentsToReconcile"/>
            <w:bookmarkEnd w:id="175"/>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of net (loss) income to net cash (used in) provided by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76" w:name="xdx_404_eus-gaap--Depreciation_i02_maNCP"/>
            <w:bookmarkEnd w:id="176"/>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79,084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77" w:name="xdx_40A_ecustom--NoncashLeaseExpenses_i0"/>
            <w:bookmarkEnd w:id="177"/>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310,161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73,343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78" w:name="xdx_405_ecustom--NoncashForgivenBorrowin"/>
            <w:bookmarkEnd w:id="178"/>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forgiven borrowing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(27,012</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79" w:name="xdx_40A_eus-gaap--InventoryWriteDown_i02"/>
            <w:bookmarkEnd w:id="179"/>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allowance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657,543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(246,593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0" w:name="xdx_40F_eus-gaap--ShareBasedCompensation"/>
            <w:bookmarkEnd w:id="180"/>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91,013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81" w:name="xdx_409_eus-gaap--IncreaseDecreaseInOper"/>
            <w:bookmarkEnd w:id="181"/>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82" w:name="xdx_404_eus-gaap--IncreaseDecreaseInAcco"/>
            <w:bookmarkEnd w:id="182"/>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(226,388</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90,716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83" w:name="xdx_40B_eus-gaap--IncreaseDecreaseInInve"/>
            <w:bookmarkEnd w:id="183"/>
          </w:p>
        </w:tc>
      </w:tr>
      <w:tr>
        <w:trPr/>
        <w:tc>
          <w:tcPr>
            <w:tcW w:w="77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(12,417,208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(2,433,382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4" w:name="xdx_40D_eus-gaap--IncreaseDecreaseInPrep"/>
            <w:bookmarkEnd w:id="184"/>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(352,113</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(602,911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5" w:name="xdx_40F_eus-gaap--IncreaseDecreaseInDefe"/>
            <w:bookmarkEnd w:id="185"/>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(503,832</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(45,488</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6" w:name="xdx_405_eus-gaap--IncreaseDecreaseInAcco"/>
            <w:bookmarkEnd w:id="186"/>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2,343,995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6,335,002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87" w:name="xdx_40E_eus-gaap--IncreaseDecreaseInAccr"/>
            <w:bookmarkEnd w:id="187"/>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175,436</w:t>
            </w:r>
          </w:p>
        </w:tc>
        <w:tc>
          <w:tcPr>
            <w:tcW w:w="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(102,312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8" w:name="xdx_408_eus-gaap--IncreaseDecreaseInOper"/>
            <w:bookmarkEnd w:id="188"/>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(283,244</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(61,527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9" w:name="xdx_401_eus-gaap--NetCashProvidedByUsedI"/>
            <w:bookmarkEnd w:id="189"/>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(11,603,176</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7,764,057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90" w:name="xdx_40D_eus-gaap--NetCashProvidedByUsedI"/>
            <w:bookmarkEnd w:id="190"/>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91" w:name="xdx_40E_eus-gaap--PaymentsToAcquirePrope"/>
            <w:bookmarkEnd w:id="191"/>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(339,518</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(16,115</w:t>
            </w:r>
          </w:p>
        </w:tc>
        <w:tc>
          <w:tcPr>
            <w:tcW w:w="9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92" w:name="xdx_409_eus-gaap--NetCashProvidedByUsedI"/>
            <w:bookmarkEnd w:id="192"/>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(339,518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(16,115</w:t>
            </w:r>
          </w:p>
        </w:tc>
        <w:tc>
          <w:tcPr>
            <w:tcW w:w="9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93" w:name="xdx_400_eus-gaap--NetCashProvidedByUsedI"/>
            <w:bookmarkEnd w:id="193"/>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94" w:name="xdx_40C_eus-gaap--ProceedsFromRepayments"/>
            <w:bookmarkEnd w:id="194"/>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related parties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138,854</w:t>
            </w:r>
          </w:p>
        </w:tc>
        <w:tc>
          <w:tcPr>
            <w:tcW w:w="8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95" w:name="xdx_401_eus-gaap--RepaymentsOfRelatedPar"/>
            <w:bookmarkEnd w:id="195"/>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from related parties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(1,024,188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196" w:name="xdx_409_eus-gaap--ProceedsFromContributi"/>
            <w:bookmarkEnd w:id="196"/>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contribution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97" w:name="xdx_400_eus-gaap--PaymentsOfCapitalDistr"/>
            <w:bookmarkEnd w:id="197"/>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to stockholders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(2,132,000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8" w:name="xdx_400_eus-gaap--ProceedsFromIssuanceOf"/>
            <w:bookmarkEnd w:id="198"/>
          </w:p>
        </w:tc>
      </w:tr>
      <w:tr>
        <w:trPr/>
        <w:tc>
          <w:tcPr>
            <w:tcW w:w="7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shares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5,580,192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199" w:name="xdx_40F_ecustom--ProceedsFromPrepaidExpe"/>
            <w:bookmarkEnd w:id="199"/>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576,168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200" w:name="xdx_409_eus-gaap--ProceedsFromShortTermD"/>
            <w:bookmarkEnd w:id="200"/>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Short-term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652,316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1" w:name="xdx_402_eus-gaap--NetCashProvidedByUsedI"/>
            <w:bookmarkEnd w:id="201"/>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5,923,342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(2,126,177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2" w:name="xdx_40A_eus-gaap--EffectOfExchangeRateOn"/>
            <w:bookmarkEnd w:id="202"/>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changes in foreign currency exchange rates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(10,631</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3" w:name="xdx_401_eus-gaap--CashCashEquivalentsRes"/>
            <w:bookmarkEnd w:id="203"/>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(6,029,983</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5,624,508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4" w:name="xdx_408_eus-gaap--CashCashEquivalentsRes"/>
            <w:bookmarkEnd w:id="204"/>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year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10,592,572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4,968,064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5" w:name="xdx_40E_eus-gaap--CashCashEquivalentsRes"/>
            <w:bookmarkEnd w:id="205"/>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the year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4,562,589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10,592,572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6" w:name="xdx_409_eus-gaap--SupplementalCashFlowIn"/>
            <w:bookmarkEnd w:id="206"/>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disclosures of cash flow information: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207" w:name="xdx_403_eus-gaap--InterestPaidNet_i01_zI"/>
            <w:bookmarkEnd w:id="207"/>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08" w:name="xdx_403_eus-gaap--IncomeTaxesPaidNet_i01"/>
            <w:bookmarkEnd w:id="208"/>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470,601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743,000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209" w:name="xdx_40A_eus-gaap--NoncashInvestingAndFin"/>
            <w:bookmarkEnd w:id="209"/>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210" w:name="xdx_40A_ecustom--RightofuseOfAssetAndOpe"/>
            <w:bookmarkEnd w:id="210"/>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of assets and operating lease liabilities recognized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701,526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211" w:name="xdx_407_ecustom--NoncashDistributionToSt"/>
            <w:bookmarkEnd w:id="211"/>
          </w:p>
        </w:tc>
      </w:tr>
      <w:tr>
        <w:trPr/>
        <w:tc>
          <w:tcPr>
            <w:tcW w:w="7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distribution to stockholders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(4,170,418</w:t>
            </w:r>
          </w:p>
        </w:tc>
        <w:tc>
          <w:tcPr>
            <w:tcW w:w="9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212" w:name="xdx_402_ecustom--NoncashShorttermDebtFro"/>
            <w:bookmarkEnd w:id="212"/>
          </w:p>
        </w:tc>
      </w:tr>
      <w:tr>
        <w:trPr/>
        <w:tc>
          <w:tcPr>
            <w:tcW w:w="7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from related parties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4,170,418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F-6</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13" w:name="Ha_006"/>
      <w:bookmarkEnd w:id="213"/>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14" w:name="xdx_805_eus-gaap--OrganizationConsolidat"/>
      <w:bookmarkEnd w:id="214"/>
      <w:r>
        <w:rPr>
          <w:rFonts w:ascii="Times New Roman;Times;Serif" w:hAnsi="Times New Roman;Times;Serif"/>
          <w:b/>
          <w:i w:val="false"/>
          <w:caps w:val="false"/>
          <w:smallCaps w:val="false"/>
          <w:sz w:val="20"/>
        </w:rPr>
        <w:t xml:space="preserve">NOTE 1 - </w:t>
      </w:r>
      <w:bookmarkStart w:id="215" w:name="xdx_823_z8KDOr3rYdCc"/>
      <w:bookmarkEnd w:id="215"/>
      <w:r>
        <w:rPr>
          <w:rFonts w:ascii="Times New Roman;Times;Serif" w:hAnsi="Times New Roman;Times;Serif"/>
          <w:b/>
          <w:i w:val="false"/>
          <w:caps w:val="false"/>
          <w:smallCaps w:val="false"/>
          <w:sz w:val="20"/>
        </w:rPr>
        <w:t>Nature of Operations and 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Hour Loop, Inc. (“Hour Loop” or the “Company”) is a technology-enabled consumer products company that uses machine learning and data analytics to design, develop, market and sell products. Hour Loop predominantly operates through online retail channels such as Amazon, Walmart, and Hourloop.com. The Company, as an Internet marketplace seller, sells products in multiple categories, including home/garden décor, toys, kitchenware, apparels, and electronics. The Company has only </w:t>
      </w:r>
      <w:bookmarkStart w:id="216" w:name="xdx_90F_eus-gaap--NumberOfOperatingSegme"/>
      <w:bookmarkEnd w:id="216"/>
      <w:r>
        <w:rPr>
          <w:rFonts w:ascii="Times New Roman;Times;Serif" w:hAnsi="Times New Roman;Times;Serif"/>
          <w:b w:val="false"/>
          <w:i w:val="false"/>
          <w:caps w:val="false"/>
          <w:smallCaps w:val="false"/>
          <w:sz w:val="20"/>
        </w:rPr>
        <w:t>one segment, which is online retail (e-commerce).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January 13, 2015 under the laws of the state of Washington. On April 7, 2021, the Company was converted from a Washington corporation to a Delaware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Hour Loop formed a wholly owned subsidiary, Flywheel Consulting Ltd. (“Flywheel”) located in Taiwan, to provide business operating consulting services, exclusively to Hour Loop.</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bookmarkStart w:id="217" w:name="xdx_860_zupiIMz3eqma"/>
      <w:bookmarkStart w:id="218" w:name="xdx_848_ecustom--ReorganizationPolicyTex"/>
      <w:bookmarkEnd w:id="217"/>
      <w:bookmarkEnd w:id="218"/>
      <w:r>
        <w:rPr>
          <w:rFonts w:ascii="Times New Roman;Times;Serif" w:hAnsi="Times New Roman;Times;Serif"/>
          <w:b/>
          <w:i w:val="false"/>
          <w:caps w:val="false"/>
          <w:smallCaps w:val="false"/>
          <w:sz w:val="20"/>
        </w:rPr>
        <w:t xml:space="preserve">Reorganization - </w:t>
      </w:r>
      <w:r>
        <w:rPr>
          <w:rFonts w:ascii="Times New Roman;Times;Serif" w:hAnsi="Times New Roman;Times;Serif"/>
          <w:b w:val="false"/>
          <w:i w:val="false"/>
          <w:caps w:val="false"/>
          <w:smallCaps w:val="false"/>
          <w:sz w:val="20"/>
        </w:rPr>
        <w:t>On June 30, 2021, the Company completed a corporate reorganization to convert its status from a S corporation (</w:t>
      </w:r>
      <w:bookmarkStart w:id="219" w:name="xdx_90E_eus-gaap--CommonStockSharesOutst"/>
      <w:bookmarkStart w:id="220" w:name="xdx_908_eus-gaap--CommonStockSharesIssue"/>
      <w:bookmarkEnd w:id="219"/>
      <w:bookmarkEnd w:id="220"/>
      <w:r>
        <w:rPr>
          <w:rFonts w:ascii="Times New Roman;Times;Serif" w:hAnsi="Times New Roman;Times;Serif"/>
          <w:b w:val="false"/>
          <w:i w:val="false"/>
          <w:caps w:val="false"/>
          <w:smallCaps w:val="false"/>
          <w:sz w:val="20"/>
        </w:rPr>
        <w:t>10,000,000 common shares issued and outstanding) to a C corporation (</w:t>
      </w:r>
      <w:bookmarkStart w:id="221" w:name="xdx_901_eus-gaap--CommonStockSharesOutst"/>
      <w:bookmarkStart w:id="222" w:name="xdx_90E_eus-gaap--CommonStockSharesIssue"/>
      <w:bookmarkEnd w:id="221"/>
      <w:bookmarkEnd w:id="222"/>
      <w:r>
        <w:rPr>
          <w:rFonts w:ascii="Times New Roman;Times;Serif" w:hAnsi="Times New Roman;Times;Serif"/>
          <w:b w:val="false"/>
          <w:i w:val="false"/>
          <w:caps w:val="false"/>
          <w:smallCaps w:val="false"/>
          <w:sz w:val="20"/>
        </w:rPr>
        <w:t xml:space="preserve">10,000,000 common shares issued and outstanding) with an effective date of </w:t>
      </w:r>
      <w:bookmarkStart w:id="223" w:name="xdx_90A_eus-gaap--PlanOfReorganizationDa"/>
      <w:bookmarkEnd w:id="223"/>
      <w:r>
        <w:rPr>
          <w:rFonts w:ascii="Times New Roman;Times;Serif" w:hAnsi="Times New Roman;Times;Serif"/>
          <w:b w:val="false"/>
          <w:i w:val="false"/>
          <w:caps w:val="false"/>
          <w:smallCaps w:val="false"/>
          <w:sz w:val="20"/>
        </w:rPr>
        <w:t xml:space="preserve">July 27, 2021. The reorganization did not change the ownership of the Company and the each of the two stockholders (Sam Lai and Maggie Yu) continues to own </w:t>
      </w:r>
      <w:bookmarkStart w:id="224" w:name="xdx_909_eus-gaap--EquityMethodInvestment"/>
      <w:bookmarkEnd w:id="224"/>
      <w:r>
        <w:rPr>
          <w:rFonts w:ascii="Times New Roman;Times;Serif" w:hAnsi="Times New Roman;Times;Serif"/>
          <w:b w:val="false"/>
          <w:i w:val="false"/>
          <w:caps w:val="false"/>
          <w:smallCaps w:val="false"/>
          <w:sz w:val="20"/>
        </w:rPr>
        <w:t>50% of the Company’s outstanding shares. The discussion and presentation of the audited consolidated financial statements herein assumes the reorganization had become effective as of the beginning of the first period presented in the accompanying audited consolidated financial statements. Consistent with Section 1362 of the Internal Revenue Code of 1986, as amended (the “Code”), the retained earnings as of July 27, 2021 were distributed to the S corporation stockholders. The stockholders and the Company have entered into an agreement for this amount to be loaned to the Company. The amount of this distribution is $</w:t>
      </w:r>
      <w:bookmarkStart w:id="225" w:name="xdx_908_eus-gaap--ProceedsFromOtherShort"/>
      <w:bookmarkEnd w:id="225"/>
      <w:r>
        <w:rPr>
          <w:rFonts w:ascii="Times New Roman;Times;Serif" w:hAnsi="Times New Roman;Times;Serif"/>
          <w:b w:val="false"/>
          <w:i w:val="false"/>
          <w:caps w:val="false"/>
          <w:smallCaps w:val="false"/>
          <w:sz w:val="20"/>
        </w:rPr>
        <w:t xml:space="preserve">4,170,418 and the annual interest rate is </w:t>
      </w:r>
      <w:bookmarkStart w:id="226" w:name="xdx_90A_eus-gaap--DebtInstrumentInterest"/>
      <w:bookmarkEnd w:id="226"/>
      <w:r>
        <w:rPr>
          <w:rFonts w:ascii="Times New Roman;Times;Serif" w:hAnsi="Times New Roman;Times;Serif"/>
          <w:b w:val="false"/>
          <w:i w:val="false"/>
          <w:caps w:val="false"/>
          <w:smallCaps w:val="false"/>
          <w:sz w:val="20"/>
        </w:rPr>
        <w:t xml:space="preserve">2%. The loan was due on </w:t>
      </w:r>
      <w:bookmarkStart w:id="227" w:name="xdx_900_eus-gaap--DebtInstrumentMaturity"/>
      <w:bookmarkEnd w:id="227"/>
      <w:r>
        <w:rPr>
          <w:rFonts w:ascii="Times New Roman;Times;Serif" w:hAnsi="Times New Roman;Times;Serif"/>
          <w:b w:val="false"/>
          <w:i w:val="false"/>
          <w:caps w:val="false"/>
          <w:smallCaps w:val="false"/>
          <w:sz w:val="20"/>
        </w:rPr>
        <w:t xml:space="preserve">December 31, 2022. On December 28, 2022, the Company, Mr. Lai and Ms. Yu agreed to extend the term of the loan, with the new maturity date of </w:t>
      </w:r>
      <w:bookmarkStart w:id="228" w:name="xdx_902_eus-gaap--DebtInstrumentMaturity"/>
      <w:bookmarkEnd w:id="228"/>
      <w:r>
        <w:rPr>
          <w:rFonts w:ascii="Times New Roman;Times;Serif" w:hAnsi="Times New Roman;Times;Serif"/>
          <w:b w:val="false"/>
          <w:i w:val="false"/>
          <w:caps w:val="false"/>
          <w:smallCaps w:val="false"/>
          <w:sz w:val="20"/>
        </w:rPr>
        <w:t xml:space="preserve">December 31, 2024. As amended, the annual interest rate on the loan is </w:t>
      </w:r>
      <w:bookmarkStart w:id="229" w:name="xdx_900_eus-gaap--DebtInstrumentInterest"/>
      <w:bookmarkEnd w:id="229"/>
      <w:r>
        <w:rPr>
          <w:rFonts w:ascii="Times New Roman;Times;Serif" w:hAnsi="Times New Roman;Times;Serif"/>
          <w:b w:val="false"/>
          <w:i w:val="false"/>
          <w:caps w:val="false"/>
          <w:smallCaps w:val="false"/>
          <w:sz w:val="20"/>
        </w:rPr>
        <w:t>5.5%.</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27, 2021, </w:t>
      </w:r>
      <w:bookmarkStart w:id="230" w:name="xdx_908_eus-gaap--StockholdersEquityNote"/>
      <w:bookmarkEnd w:id="230"/>
      <w:r>
        <w:rPr>
          <w:rFonts w:ascii="Times New Roman;Times;Serif" w:hAnsi="Times New Roman;Times;Serif"/>
          <w:b w:val="false"/>
          <w:i w:val="false"/>
          <w:caps w:val="false"/>
          <w:smallCaps w:val="false"/>
          <w:sz w:val="20"/>
        </w:rPr>
        <w:t xml:space="preserve">the Company completed a stock split such that each outstanding stock was sub-divided and converted into 4.44 shares of common stock. As result of the stock split, the total number of shares outstanding became </w:t>
      </w:r>
      <w:bookmarkStart w:id="231" w:name="xdx_901_eus-gaap--CommonStockSharesOutst"/>
      <w:bookmarkEnd w:id="231"/>
      <w:r>
        <w:rPr>
          <w:rFonts w:ascii="Times New Roman;Times;Serif" w:hAnsi="Times New Roman;Times;Serif"/>
          <w:b w:val="false"/>
          <w:i w:val="false"/>
          <w:caps w:val="false"/>
          <w:smallCaps w:val="false"/>
          <w:sz w:val="20"/>
        </w:rPr>
        <w:t>44,400,000.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 2021, </w:t>
      </w:r>
      <w:bookmarkStart w:id="232" w:name="xdx_908_eus-gaap--StockholdersEquityReve"/>
      <w:bookmarkEnd w:id="232"/>
      <w:r>
        <w:rPr>
          <w:rFonts w:ascii="Times New Roman;Times;Serif" w:hAnsi="Times New Roman;Times;Serif"/>
          <w:b w:val="false"/>
          <w:i w:val="false"/>
          <w:caps w:val="false"/>
          <w:smallCaps w:val="false"/>
          <w:sz w:val="20"/>
        </w:rPr>
        <w:t xml:space="preserve">the Company completed a reverse stock split such that each outstanding stock was sub-divided and converted into 0.75 shares of common stock. As a result of the reverse stock split, the total number of shares outstanding became </w:t>
      </w:r>
      <w:bookmarkStart w:id="233" w:name="xdx_906_eus-gaap--CommonStockSharesOutst"/>
      <w:bookmarkEnd w:id="233"/>
      <w:r>
        <w:rPr>
          <w:rFonts w:ascii="Times New Roman;Times;Serif" w:hAnsi="Times New Roman;Times;Serif"/>
          <w:b w:val="false"/>
          <w:i w:val="false"/>
          <w:caps w:val="false"/>
          <w:smallCaps w:val="false"/>
          <w:sz w:val="20"/>
        </w:rPr>
        <w:t>33,300,000. These shares were retrospectively adjusted for prior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34" w:name="xdx_86C_zhtrwmTOdWB9"/>
      <w:bookmarkStart w:id="235" w:name="xdx_848_eus-gaap--BasisOfAccountingPolic"/>
      <w:bookmarkEnd w:id="234"/>
      <w:bookmarkEnd w:id="235"/>
      <w:r>
        <w:rPr>
          <w:rFonts w:ascii="Times New Roman;Times;Serif" w:hAnsi="Times New Roman;Times;Serif"/>
          <w:b/>
          <w:i w:val="false"/>
          <w:caps w:val="false"/>
          <w:smallCaps w:val="false"/>
          <w:sz w:val="20"/>
        </w:rPr>
        <w:t xml:space="preserve">Basis of Presentation </w:t>
      </w:r>
      <w:r>
        <w:rPr>
          <w:rFonts w:ascii="Times New Roman;Times;Serif" w:hAnsi="Times New Roman;Times;Serif"/>
          <w:b w:val="false"/>
          <w:i w:val="false"/>
          <w:caps w:val="false"/>
          <w:smallCaps w:val="false"/>
          <w:sz w:val="20"/>
        </w:rPr>
        <w:t>- The consolidated financial statements and accompanying notes of the Company have been prepared in accordance with the accounting principles generally accepted in the United States of America (“US GAAP”).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36" w:name="xdx_86B_z26PnS1eCUm5"/>
      <w:bookmarkStart w:id="237" w:name="xdx_84B_eus-gaap--ConsolidationPolicyTex"/>
      <w:bookmarkEnd w:id="236"/>
      <w:bookmarkEnd w:id="237"/>
      <w:r>
        <w:rPr>
          <w:rFonts w:ascii="Times New Roman;Times;Serif" w:hAnsi="Times New Roman;Times;Serif"/>
          <w:b/>
          <w:i w:val="false"/>
          <w:caps w:val="false"/>
          <w:smallCaps w:val="false"/>
          <w:sz w:val="20"/>
        </w:rPr>
        <w:t xml:space="preserve">Principles of Consolidation </w:t>
      </w:r>
      <w:r>
        <w:rPr>
          <w:rFonts w:ascii="Times New Roman;Times;Serif" w:hAnsi="Times New Roman;Times;Serif"/>
          <w:b w:val="false"/>
          <w:i w:val="false"/>
          <w:caps w:val="false"/>
          <w:smallCaps w:val="false"/>
          <w:sz w:val="20"/>
        </w:rPr>
        <w:t>- The consolidated financial statements include the accounts of Hour Loop and Flywheel. All material inter-company accounts and transactions were eliminated in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38" w:name="xdx_86F_zXmQGFem17J5"/>
      <w:bookmarkStart w:id="239" w:name="xdx_844_eus-gaap--ForeignCurrencyTransac"/>
      <w:bookmarkEnd w:id="238"/>
      <w:bookmarkEnd w:id="239"/>
      <w:r>
        <w:rPr>
          <w:rFonts w:ascii="Times New Roman;Times;Serif" w:hAnsi="Times New Roman;Times;Serif"/>
          <w:b/>
          <w:i w:val="false"/>
          <w:caps w:val="false"/>
          <w:smallCaps w:val="false"/>
          <w:sz w:val="20"/>
        </w:rPr>
        <w:t xml:space="preserve">Foreign Currency and Currency Translation </w:t>
      </w:r>
      <w:r>
        <w:rPr>
          <w:rFonts w:ascii="Times New Roman;Times;Serif" w:hAnsi="Times New Roman;Times;Serif"/>
          <w:b w:val="false"/>
          <w:i w:val="false"/>
          <w:caps w:val="false"/>
          <w:smallCaps w:val="false"/>
          <w:sz w:val="20"/>
        </w:rPr>
        <w:t>- The assets and liabilities of Flywheel, having a functional currency other than the U.S. dollar, are translated into U.S. dollars at exchange rates in effect at period-end, with resulting translation gains or losses included within other comprehensive income or loss. Revenues and expenses are translated into U.S. dollars at average monthly rates of exchange in effect during each period. All of the Company’s foreign operations use their local currency as their functional currency. Currency gains or losses resulting from transactions executed in currencies other than the functional currency are included in other income (expense) in the consolidated statement of operations and other comprehensive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foreign currency exchange risk through its foreign subsidiary in Taiwan, which reports its earnings in Taiwan dollars. The Company translates the foreign assets and liabilities at exchange rates in effect at the consolidated balance sheet date and translates the revenues and expenses using average rates during the year. The resulting foreign currency translation adjustments are recorded as a separate component of accumulated other comprehensive income or loss in the accompanying consolidated balance sheet and the consolidated statements of operations. The Company does not hedge foreign currency translation risk in the net assets and income reported from these 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Consideration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the Company had a negative cash flow from operating activities of </w:t>
      </w:r>
      <w:bookmarkStart w:id="240" w:name="xdx_90B_eus-gaap--NetCashProvidedByUsedI"/>
      <w:bookmarkEnd w:id="240"/>
      <w:r>
        <w:rPr>
          <w:rFonts w:ascii="Times New Roman;Times;Serif" w:hAnsi="Times New Roman;Times;Serif"/>
          <w:b w:val="false"/>
          <w:i w:val="false"/>
          <w:caps w:val="false"/>
          <w:smallCaps w:val="false"/>
          <w:sz w:val="20"/>
        </w:rPr>
        <w:t xml:space="preserve">11,603,176, and net loss of </w:t>
      </w:r>
      <w:bookmarkStart w:id="241" w:name="xdx_907_eus-gaap--NetIncomeLoss_iN_di_c2"/>
      <w:bookmarkEnd w:id="241"/>
      <w:r>
        <w:rPr>
          <w:rFonts w:ascii="Times New Roman;Times;Serif" w:hAnsi="Times New Roman;Times;Serif"/>
          <w:b w:val="false"/>
          <w:i w:val="false"/>
          <w:caps w:val="false"/>
          <w:smallCaps w:val="false"/>
          <w:sz w:val="20"/>
        </w:rPr>
        <w:t>1,477,623. These conditions raise substantial doubt about the Company’s ability to continue as a going concern. Therefore, the Company may be unable to realize its assets and discharge its liabilities in normal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borrowings of the Company as of December 31, 2022 are from the related parties, which will not repayable within the next 12 months and are subject to renewal and the management is confident that these borrowings can be renewed upon expiration.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strengthen the Company’s liquidity in the foreseeable future, the Company has taken the following measures:</w:t>
      </w:r>
    </w:p>
    <w:p>
      <w:pPr>
        <w:pStyle w:val="TextBody"/>
        <w:spacing w:before="0" w:after="0"/>
        <w:ind w:left="720" w:right="0" w:hanging="360"/>
        <w:rPr>
          <w:caps w:val="false"/>
          <w:smallCaps w:val="false"/>
        </w:rPr>
      </w:pPr>
      <w:r>
        <w:rPr>
          <w:caps w:val="false"/>
          <w:smallCaps w:val="false"/>
        </w:rPr>
        <w:t> </w:t>
      </w:r>
    </w:p>
    <w:tbl>
      <w:tblPr>
        <w:tblW w:w="6055" w:type="dxa"/>
        <w:jc w:val="left"/>
        <w:tblInd w:w="0" w:type="dxa"/>
        <w:tblCellMar>
          <w:top w:w="0" w:type="dxa"/>
          <w:left w:w="0" w:type="dxa"/>
          <w:bottom w:w="0" w:type="dxa"/>
          <w:right w:w="0" w:type="dxa"/>
        </w:tblCellMar>
      </w:tblPr>
      <w:tblGrid>
        <w:gridCol w:w="75"/>
        <w:gridCol w:w="185"/>
        <w:gridCol w:w="57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various cost control measures to tighten the costs of operations.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various strategies to enhance sales and profitability.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represents that there is sufficient working capital to sustain operations longer than twelve months.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F-7</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242" w:name="xdx_89F_eus-gaap--ScheduleOfForeignExcha"/>
      <w:bookmarkEnd w:id="242"/>
      <w:r>
        <w:rPr>
          <w:rFonts w:ascii="Times New Roman;Times;Serif" w:hAnsi="Times New Roman;Times;Serif"/>
          <w:b w:val="false"/>
          <w:i w:val="false"/>
          <w:caps w:val="false"/>
          <w:smallCaps w:val="false"/>
          <w:sz w:val="20"/>
        </w:rPr>
        <w:t>The relevant exchange rates are listed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243" w:name="xdx_8BE_zTFbcMffsnMf"/>
      <w:bookmarkEnd w:id="243"/>
      <w:r>
        <w:rPr>
          <w:rFonts w:ascii="Times New Roman;Times;Serif" w:hAnsi="Times New Roman;Times;Serif"/>
          <w:b w:val="false"/>
          <w:i w:val="false"/>
          <w:caps w:val="false"/>
          <w:smallCaps w:val="false"/>
          <w:sz w:val="20"/>
        </w:rPr>
        <w:t>Schedule of Foreign Currency Exchange Rates</w:t>
      </w:r>
    </w:p>
    <w:tbl>
      <w:tblPr>
        <w:tblW w:w="5923" w:type="dxa"/>
        <w:jc w:val="left"/>
        <w:tblInd w:w="0" w:type="dxa"/>
        <w:tblCellMar>
          <w:top w:w="0" w:type="dxa"/>
          <w:left w:w="0" w:type="dxa"/>
          <w:bottom w:w="0" w:type="dxa"/>
          <w:right w:w="0" w:type="dxa"/>
        </w:tblCellMar>
      </w:tblPr>
      <w:tblGrid>
        <w:gridCol w:w="3365"/>
        <w:gridCol w:w="60"/>
        <w:gridCol w:w="107"/>
        <w:gridCol w:w="1067"/>
        <w:gridCol w:w="60"/>
        <w:gridCol w:w="60"/>
        <w:gridCol w:w="103"/>
        <w:gridCol w:w="1026"/>
        <w:gridCol w:w="75"/>
      </w:tblGrid>
      <w:tr>
        <w:trPr/>
        <w:tc>
          <w:tcPr>
            <w:tcW w:w="33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NTD: USD exchange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 w:type="dxa"/>
            <w:tcBorders/>
            <w:shd w:fill="CCEEFF" w:val="clear"/>
            <w:vAlign w:val="center"/>
          </w:tcPr>
          <w:p>
            <w:pPr>
              <w:pStyle w:val="TableContents"/>
              <w:spacing w:before="0" w:after="283"/>
              <w:jc w:val="left"/>
              <w:rPr>
                <w:caps w:val="false"/>
                <w:smallCaps w:val="false"/>
              </w:rPr>
            </w:pPr>
            <w:r>
              <w:rPr>
                <w:caps w:val="false"/>
                <w:smallCaps w:val="false"/>
              </w:rPr>
              <w:t> </w:t>
            </w:r>
            <w:bookmarkStart w:id="244" w:name="xdx_98B_eus-gaap--ForeignCurrencyExchang"/>
            <w:bookmarkEnd w:id="244"/>
          </w:p>
        </w:tc>
        <w:tc>
          <w:tcPr>
            <w:tcW w:w="10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bookmarkStart w:id="245" w:name="xdx_98E_eus-gaap--ForeignCurrencyExchang"/>
            <w:bookmarkEnd w:id="245"/>
          </w:p>
        </w:tc>
        <w:tc>
          <w:tcPr>
            <w:tcW w:w="102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Average NTD: USD exchange rate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7" w:type="dxa"/>
            <w:tcBorders/>
            <w:shd w:fill="FFFFFF" w:val="clear"/>
            <w:vAlign w:val="center"/>
          </w:tcPr>
          <w:p>
            <w:pPr>
              <w:pStyle w:val="TableContents"/>
              <w:spacing w:before="0" w:after="283"/>
              <w:jc w:val="left"/>
              <w:rPr>
                <w:caps w:val="false"/>
                <w:smallCaps w:val="false"/>
              </w:rPr>
            </w:pPr>
            <w:r>
              <w:rPr>
                <w:caps w:val="false"/>
                <w:smallCaps w:val="false"/>
              </w:rPr>
              <w:t> </w:t>
            </w:r>
            <w:bookmarkStart w:id="246" w:name="xdx_988_eus-gaap--ForeignCurrencyExchang"/>
            <w:bookmarkEnd w:id="246"/>
          </w:p>
        </w:tc>
        <w:tc>
          <w:tcPr>
            <w:tcW w:w="10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bookmarkStart w:id="247" w:name="xdx_987_eus-gaap--ForeignCurrencyExchang"/>
            <w:bookmarkEnd w:id="247"/>
          </w:p>
        </w:tc>
        <w:tc>
          <w:tcPr>
            <w:tcW w:w="102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248" w:name="xdx_8A5_zgPNfsxEvZef"/>
      <w:bookmarkEnd w:id="248"/>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49" w:name="xdx_860_zp8ei1VckASl"/>
      <w:bookmarkStart w:id="250" w:name="xdx_84B_eus-gaap--UseOfEstimates_zU2aeF2"/>
      <w:bookmarkEnd w:id="249"/>
      <w:bookmarkEnd w:id="250"/>
      <w:r>
        <w:rPr>
          <w:rFonts w:ascii="Times New Roman;Times;Serif" w:hAnsi="Times New Roman;Times;Serif"/>
          <w:b/>
          <w:i w:val="false"/>
          <w:caps w:val="false"/>
          <w:smallCaps w:val="false"/>
          <w:sz w:val="20"/>
        </w:rPr>
        <w:t xml:space="preserve">Use of Estimates </w:t>
      </w:r>
      <w:r>
        <w:rPr>
          <w:rFonts w:ascii="Times New Roman;Times;Serif" w:hAnsi="Times New Roman;Times;Serif"/>
          <w:b w:val="false"/>
          <w:i w:val="false"/>
          <w:caps w:val="false"/>
          <w:smallCaps w:val="false"/>
          <w:sz w:val="20"/>
        </w:rPr>
        <w:t>-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but not limited to, estimates associated with the collectability of allowance for accounts receivable, accounts receivable, useful life of Property and equipment, impairment long lived assets, valuation allowance for Deferred tax assets and inventory valuation.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51" w:name="xdx_86A_zrkIR1Jw76p4"/>
      <w:bookmarkStart w:id="252" w:name="xdx_848_eus-gaap--CashAndCashEquivalents"/>
      <w:bookmarkEnd w:id="251"/>
      <w:bookmarkEnd w:id="252"/>
      <w:r>
        <w:rPr>
          <w:rFonts w:ascii="Times New Roman;Times;Serif" w:hAnsi="Times New Roman;Times;Serif"/>
          <w:b/>
          <w:i w:val="false"/>
          <w:caps w:val="false"/>
          <w:smallCaps w:val="false"/>
          <w:sz w:val="20"/>
        </w:rPr>
        <w:t xml:space="preserve">Cash and Cash Equivalents </w:t>
      </w:r>
      <w:r>
        <w:rPr>
          <w:rFonts w:ascii="Times New Roman;Times;Serif" w:hAnsi="Times New Roman;Times;Serif"/>
          <w:b w:val="false"/>
          <w:i w:val="false"/>
          <w:caps w:val="false"/>
          <w:smallCaps w:val="false"/>
          <w:sz w:val="20"/>
        </w:rPr>
        <w:t>- The Company considers all highly liquid financial instruments purchased with original maturities of three months or less to be cash and cash equivalents. The carrying amount of cash and cash equivalents approximates fair value. Our cash and cash equivalents are saved in the bank and covered by FDIC, which subjected applicable limits. Deposits are insured up to at least $</w:t>
      </w:r>
      <w:bookmarkStart w:id="253" w:name="xdx_903_eus-gaap--CashFDICInsuredAmount_"/>
      <w:bookmarkEnd w:id="253"/>
      <w:r>
        <w:rPr>
          <w:rFonts w:ascii="Times New Roman;Times;Serif" w:hAnsi="Times New Roman;Times;Serif"/>
          <w:b w:val="false"/>
          <w:i w:val="false"/>
          <w:caps w:val="false"/>
          <w:smallCaps w:val="false"/>
          <w:sz w:val="20"/>
        </w:rPr>
        <w:t>250,000 per depositor, per FDIC-insured bank, per ownership category.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54" w:name="xdx_86E_zSIBgaOTMJVj"/>
      <w:bookmarkStart w:id="255" w:name="xdx_847_eus-gaap--TradeAndOtherAccountsR"/>
      <w:bookmarkEnd w:id="254"/>
      <w:bookmarkEnd w:id="255"/>
      <w:r>
        <w:rPr>
          <w:rFonts w:ascii="Times New Roman;Times;Serif" w:hAnsi="Times New Roman;Times;Serif"/>
          <w:b/>
          <w:i w:val="false"/>
          <w:caps w:val="false"/>
          <w:smallCaps w:val="false"/>
          <w:sz w:val="20"/>
        </w:rPr>
        <w:t xml:space="preserve">Accounts Receivable and Allowance for Doubtful Accounts </w:t>
      </w:r>
      <w:r>
        <w:rPr>
          <w:rFonts w:ascii="Times New Roman;Times;Serif" w:hAnsi="Times New Roman;Times;Serif"/>
          <w:b w:val="false"/>
          <w:i w:val="false"/>
          <w:caps w:val="false"/>
          <w:smallCaps w:val="false"/>
          <w:sz w:val="20"/>
        </w:rPr>
        <w:t>- 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collection is primarily through Amazon and collection period is usually less than 7 days. The Company performs on-going evaluations of its customers and maintains an allowance for bad and doubtful receivables. As of December 31, 2022 and 2021, the Company did not deem it necessary to have an allowance for bad debt or doubtful accounts.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56" w:name="xdx_867_zNMaXozTje8g"/>
      <w:bookmarkStart w:id="257" w:name="xdx_842_eus-gaap--InventoryPolicyTextBlo"/>
      <w:bookmarkEnd w:id="256"/>
      <w:bookmarkEnd w:id="257"/>
      <w:r>
        <w:rPr>
          <w:rFonts w:ascii="Times New Roman;Times;Serif" w:hAnsi="Times New Roman;Times;Serif"/>
          <w:b/>
          <w:i w:val="false"/>
          <w:caps w:val="false"/>
          <w:smallCaps w:val="false"/>
          <w:sz w:val="20"/>
        </w:rPr>
        <w:t xml:space="preserve">Inventory and Cost of Goods Sold </w:t>
      </w:r>
      <w:r>
        <w:rPr>
          <w:rFonts w:ascii="Times New Roman;Times;Serif" w:hAnsi="Times New Roman;Times;Serif"/>
          <w:b w:val="false"/>
          <w:i w:val="false"/>
          <w:caps w:val="false"/>
          <w:smallCaps w:val="false"/>
          <w:sz w:val="20"/>
        </w:rPr>
        <w:t>- The Company’s inventory consists mainly finished goods. Inventories are stated at the lower of cost or net realizable value. Cost is principally determined on a first-in 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F-8</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revenues” line item in the consolidated statements of operations is principally inventory sold to customers during the reporting period. The Company had inventory allowance balances of $</w:t>
      </w:r>
      <w:bookmarkStart w:id="258" w:name="xdx_90B_eus-gaap--InventoryValuationRese"/>
      <w:bookmarkEnd w:id="258"/>
      <w:r>
        <w:rPr>
          <w:rFonts w:ascii="Times New Roman;Times;Serif" w:hAnsi="Times New Roman;Times;Serif"/>
          <w:b w:val="false"/>
          <w:i w:val="false"/>
          <w:caps w:val="false"/>
          <w:smallCaps w:val="false"/>
          <w:sz w:val="20"/>
        </w:rPr>
        <w:t>842,263 and $</w:t>
      </w:r>
      <w:bookmarkStart w:id="259" w:name="xdx_90A_eus-gaap--InventoryValuationRese"/>
      <w:bookmarkEnd w:id="259"/>
      <w:r>
        <w:rPr>
          <w:rFonts w:ascii="Times New Roman;Times;Serif" w:hAnsi="Times New Roman;Times;Serif"/>
          <w:b w:val="false"/>
          <w:i w:val="false"/>
          <w:caps w:val="false"/>
          <w:smallCaps w:val="false"/>
          <w:sz w:val="20"/>
        </w:rPr>
        <w:t>184,720 as of December 31, 2022 and 2021, respectively. Full inventory allowance is recorded for the inventory SKU not sold for more than one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for inventory allowance: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consisting of products available for sale, are primarily accounted for using the first-in, first-out method, and are valued at the lower of cost and net realizable value. This valuation requires us to make judgments based on currently available information about the likely method of disposition, such as through sales to individual customers, returns to product vendors, or liquidations, and expected recoverable values of each disposition category.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60" w:name="xdx_86F_z1CAF91WIWDf"/>
      <w:bookmarkStart w:id="261" w:name="xdx_841_eus-gaap--PropertyPlantAndEquipm"/>
      <w:bookmarkEnd w:id="260"/>
      <w:bookmarkEnd w:id="261"/>
      <w:r>
        <w:rPr>
          <w:rFonts w:ascii="Times New Roman;Times;Serif" w:hAnsi="Times New Roman;Times;Serif"/>
          <w:b/>
          <w:i w:val="false"/>
          <w:caps w:val="false"/>
          <w:smallCaps w:val="false"/>
          <w:sz w:val="20"/>
        </w:rPr>
        <w:t xml:space="preserve">Property and Equipment </w:t>
      </w:r>
      <w:r>
        <w:rPr>
          <w:rFonts w:ascii="Times New Roman;Times;Serif" w:hAnsi="Times New Roman;Times;Serif"/>
          <w:b w:val="false"/>
          <w:i w:val="false"/>
          <w:caps w:val="false"/>
          <w:smallCaps w:val="false"/>
          <w:sz w:val="20"/>
        </w:rPr>
        <w:t>- Property and equipment are recorded at cost and depreciated or amortized over the estimated useful life of the asset using the straight-line method. The Company elected to expense any individual property and equipment items under $</w:t>
      </w:r>
      <w:bookmarkStart w:id="262" w:name="xdx_906_eus-gaap--CostOfPropertyRepairsA"/>
      <w:bookmarkEnd w:id="262"/>
      <w:r>
        <w:rPr>
          <w:rFonts w:ascii="Times New Roman;Times;Serif" w:hAnsi="Times New Roman;Times;Serif"/>
          <w:b w:val="false"/>
          <w:i w:val="false"/>
          <w:caps w:val="false"/>
          <w:smallCaps w:val="false"/>
          <w:sz w:val="20"/>
        </w:rPr>
        <w:t>2,500.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majority of the Company’s property and equipment is computers, and the estimated useful lives is </w:t>
      </w:r>
      <w:bookmarkStart w:id="263" w:name="xdx_906_eus-gaap--PropertyPlantAndEquipm"/>
      <w:bookmarkEnd w:id="263"/>
      <w:r>
        <w:rPr>
          <w:rFonts w:ascii="Times New Roman;Times;Serif" w:hAnsi="Times New Roman;Times;Serif"/>
          <w:b w:val="false"/>
          <w:i w:val="false"/>
          <w:caps w:val="false"/>
          <w:smallCaps w:val="false"/>
          <w:sz w:val="20"/>
        </w:rPr>
        <w:t>3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64" w:name="xdx_86E_zLC1K1dvW9ga"/>
      <w:bookmarkStart w:id="265" w:name="xdx_846_eus-gaap--LesseeLeasesPolicyText"/>
      <w:bookmarkEnd w:id="264"/>
      <w:bookmarkEnd w:id="265"/>
      <w:r>
        <w:rPr>
          <w:rFonts w:ascii="Times New Roman;Times;Serif" w:hAnsi="Times New Roman;Times;Serif"/>
          <w:b/>
          <w:i w:val="false"/>
          <w:caps w:val="false"/>
          <w:smallCaps w:val="false"/>
          <w:sz w:val="20"/>
        </w:rPr>
        <w:t xml:space="preserve">Leases - </w:t>
      </w:r>
      <w:r>
        <w:rPr>
          <w:rFonts w:ascii="Times New Roman;Times;Serif" w:hAnsi="Times New Roman;Times;Serif"/>
          <w:b w:val="false"/>
          <w:i w:val="false"/>
          <w:caps w:val="false"/>
          <w:smallCaps w:val="false"/>
          <w:sz w:val="20"/>
        </w:rPr>
        <w:t>Leases are classified at lease commencement date as either a finance lease or an operating lease. A lease is a finance lease if it meets any of the 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lessee, a lease is recognized as a right-of-use asset with a corresponding liability at lease commencement date. The lease liability is calculated at the present value of the lease payments not yet paid by using the lease term and discount rate determined at lease commencement. The right-of-use asset is calculated as the lease liability, increased by any initial direct costs, and prepaid lease payments, reduced by any lease incentives received before lease commencement. The right-of-use asset itself is amortized on a straight-line basis unless another systematic method better reflects how the underlying asset will be used by and benefits the lessee over the lease term.</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FASB issued ASU No. 2016-02, Leases (Topic 842), and has since issued amendments thereto, related to the accounting for leases (collectively referred to as “ASC 842”). ASC 842 establishes a right-of-use (“ROU”) model that requires a lessee to record a ROU asset and a lease liability on the balance sheet for all leases with terms longer than 12 months. As of January 1, 2019, the Company adopted ASC Topic 842, Leases, which allows the Company to apply the transition provision at the Company’s adoption date instead of at the earliest comparative period presented in the financial statements. Therefore, the Company recognized and measured leases existing at January 1, 2019 but without retrospective application. In addition, the Company elected the optional practical expedient permitted under the transition guidance which allows the Company to carry forward the historical accounting treatment for existing leases upon adoption. No impact was recorded to the beginning retained earnings for ASC Topic 842. The Company’s accounting policy is to recognize lease payments as lease expense for short-term leases of less than 12 months.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66" w:name="xdx_862_zT1xAjzKiRYj"/>
      <w:bookmarkStart w:id="267" w:name="xdx_84A_eus-gaap--FairValueMeasurementPo"/>
      <w:bookmarkEnd w:id="266"/>
      <w:bookmarkEnd w:id="267"/>
      <w:r>
        <w:rPr>
          <w:rFonts w:ascii="Times New Roman;Times;Serif" w:hAnsi="Times New Roman;Times;Serif"/>
          <w:b/>
          <w:i w:val="false"/>
          <w:caps w:val="false"/>
          <w:smallCaps w:val="false"/>
          <w:sz w:val="20"/>
        </w:rPr>
        <w:t xml:space="preserve">Fair Value Measurement </w:t>
      </w:r>
      <w:r>
        <w:rPr>
          <w:rFonts w:ascii="Times New Roman;Times;Serif" w:hAnsi="Times New Roman;Times;Serif"/>
          <w:b w:val="false"/>
          <w:i w:val="false"/>
          <w:caps w:val="false"/>
          <w:smallCaps w:val="false"/>
          <w:sz w:val="20"/>
        </w:rPr>
        <w:t>-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approximate fair value because of the immediate or short-term maturity of these financial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for identical assets and liabilities in active markets.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reflecting our own assumptions, consistent with reasonably available assumptions made by other market participants. These valuations require significant judgment.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68" w:name="xdx_86D_zVEFjwN6EoU"/>
      <w:bookmarkStart w:id="269" w:name="xdx_843_eus-gaap--RevenueFromContractWit"/>
      <w:bookmarkEnd w:id="268"/>
      <w:bookmarkEnd w:id="269"/>
      <w:r>
        <w:rPr>
          <w:rFonts w:ascii="Times New Roman;Times;Serif" w:hAnsi="Times New Roman;Times;Serif"/>
          <w:b/>
          <w:i w:val="false"/>
          <w:caps w:val="false"/>
          <w:smallCaps w:val="false"/>
          <w:sz w:val="20"/>
        </w:rPr>
        <w:t xml:space="preserve">Revenue Recognition </w:t>
      </w:r>
      <w:r>
        <w:rPr>
          <w:rFonts w:ascii="Times New Roman;Times;Serif" w:hAnsi="Times New Roman;Times;Serif"/>
          <w:b w:val="false"/>
          <w:i w:val="false"/>
          <w:caps w:val="false"/>
          <w:smallCaps w:val="false"/>
          <w:sz w:val="20"/>
        </w:rPr>
        <w:t>- The Company accounts for revenue in accordance with Financial Accounting Standards Board (“FASB”) Accounting Standard Codification (“ASC”) Topic 606, Revenue from Contracts with Customers (“ASC Topic 606”). The Company adopted ASC Topic 606 as of January 1, 2019. The standard did not affect the Company’s consolidated financial position, or cash flows. There were no changes to the timing of revenue recognition as a result of the adoption.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Topic 606, Revenue from Contracts with Customers, which provided a five-step model for recognizing revenue from contracts with customers as follows:</w:t>
      </w:r>
    </w:p>
    <w:p>
      <w:pPr>
        <w:pStyle w:val="TextBody"/>
        <w:spacing w:before="0" w:after="0"/>
        <w:ind w:left="0" w:right="0" w:hanging="0"/>
        <w:jc w:val="both"/>
        <w:rPr>
          <w:caps w:val="false"/>
          <w:smallCaps w:val="false"/>
        </w:rPr>
      </w:pPr>
      <w:r>
        <w:rPr>
          <w:caps w:val="false"/>
          <w:smallCaps w:val="false"/>
        </w:rPr>
        <w:t> </w:t>
      </w:r>
    </w:p>
    <w:tbl>
      <w:tblPr>
        <w:tblW w:w="6423" w:type="dxa"/>
        <w:jc w:val="left"/>
        <w:tblInd w:w="0" w:type="dxa"/>
        <w:tblCellMar>
          <w:top w:w="0" w:type="dxa"/>
          <w:left w:w="0" w:type="dxa"/>
          <w:bottom w:w="0" w:type="dxa"/>
          <w:right w:w="0" w:type="dxa"/>
        </w:tblCellMar>
      </w:tblPr>
      <w:tblGrid>
        <w:gridCol w:w="38"/>
        <w:gridCol w:w="170"/>
        <w:gridCol w:w="62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performance obligations are satisfied.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 from the sale of consumer products. The Company sells its products directly to consumers through online retail channels. The Company considers customer order confirmations to be a contract with the customer. Customer confirmations are executed at the time an order is placed through third-party online channels. 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customer can return the products within 30 days after the products are delivered and estimated sales returns are calculated based on the expected returns. The rates of sales returns were </w:t>
      </w:r>
      <w:bookmarkStart w:id="270" w:name="xdx_90F_ecustom--SalesReturnRate_pid_dp_"/>
      <w:bookmarkEnd w:id="270"/>
      <w:r>
        <w:rPr>
          <w:rFonts w:ascii="Times New Roman;Times;Serif" w:hAnsi="Times New Roman;Times;Serif"/>
          <w:b w:val="false"/>
          <w:i w:val="false"/>
          <w:caps w:val="false"/>
          <w:smallCaps w:val="false"/>
          <w:sz w:val="20"/>
        </w:rPr>
        <w:t xml:space="preserve">5.78% and </w:t>
      </w:r>
      <w:bookmarkStart w:id="271" w:name="xdx_907_ecustom--SalesReturnRate_pid_dp_"/>
      <w:bookmarkEnd w:id="271"/>
      <w:r>
        <w:rPr>
          <w:rFonts w:ascii="Times New Roman;Times;Serif" w:hAnsi="Times New Roman;Times;Serif"/>
          <w:b w:val="false"/>
          <w:i w:val="false"/>
          <w:caps w:val="false"/>
          <w:smallCaps w:val="false"/>
          <w:sz w:val="20"/>
        </w:rPr>
        <w:t>4.92% of gross sales for the periods ended December 31, 2022 and 2021, respectively.</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F-9</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offers price discounts on certain selected items to stimulate the sales of those items. Revenue is measured as the amount of consideration for which the Company expects to be entitled in exchange for transferring goods. Consistent with this policy, the Company reduces the amount of these discounts from the gross revenue to calculate the net revenue recorded on the statement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to the customer and is the unit of account in ASC Topic 606. A contract’s transaction price is recognized as revenue when the performance obligation is satisfied. Each of the Company’s contracts have a single distinct performance obligation, which is the promise to transfer individual goods. For consumer product sales, the Company has elected to treat shipping and handling as fulfillment activities, and not a separate performance obligation. The Company had shipping and handling costs of $</w:t>
      </w:r>
      <w:bookmarkStart w:id="272" w:name="xdx_901_ecustom--ShippingAndHandlingCost"/>
      <w:bookmarkEnd w:id="272"/>
      <w:r>
        <w:rPr>
          <w:rFonts w:ascii="Times New Roman;Times;Serif" w:hAnsi="Times New Roman;Times;Serif"/>
          <w:b w:val="false"/>
          <w:i w:val="false"/>
          <w:caps w:val="false"/>
          <w:smallCaps w:val="false"/>
          <w:sz w:val="20"/>
        </w:rPr>
        <w:t>21,145,605 and $</w:t>
      </w:r>
      <w:bookmarkStart w:id="273" w:name="xdx_90E_ecustom--ShippingAndHandlingCost"/>
      <w:bookmarkEnd w:id="273"/>
      <w:r>
        <w:rPr>
          <w:rFonts w:ascii="Times New Roman;Times;Serif" w:hAnsi="Times New Roman;Times;Serif"/>
          <w:b w:val="false"/>
          <w:i w:val="false"/>
          <w:caps w:val="false"/>
          <w:smallCaps w:val="false"/>
          <w:sz w:val="20"/>
        </w:rPr>
        <w:t>11,756,555 for the periods ended of December 31, 2022 and 2021, respectively, which were recorded in selling, advertising and marketing expenses.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 The Company’s revenues for the periods ended December 31, 2022 and 2021 are recognized at a point in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74" w:name="xdx_868_zJgNQa3G07Nj"/>
      <w:bookmarkStart w:id="275" w:name="xdx_840_eus-gaap--IncomeTaxPolicyTextBlo"/>
      <w:bookmarkEnd w:id="274"/>
      <w:bookmarkEnd w:id="275"/>
      <w:r>
        <w:rPr>
          <w:rFonts w:ascii="Times New Roman;Times;Serif" w:hAnsi="Times New Roman;Times;Serif"/>
          <w:b/>
          <w:i w:val="false"/>
          <w:caps w:val="false"/>
          <w:smallCaps w:val="false"/>
          <w:sz w:val="20"/>
        </w:rPr>
        <w:t xml:space="preserve">Income Taxes </w:t>
      </w:r>
      <w:r>
        <w:rPr>
          <w:rFonts w:ascii="Times New Roman;Times;Serif" w:hAnsi="Times New Roman;Times;Serif"/>
          <w:b w:val="false"/>
          <w:i w:val="false"/>
          <w:caps w:val="false"/>
          <w:smallCaps w:val="false"/>
          <w:sz w:val="20"/>
        </w:rPr>
        <w:t>- Prior to 2021, the Company, with the stockholders’ consent, elected to be taxed as an “S corporation” under the provisions of the Internal Revenue Code of 1986, as amended (the “Code”), and comparable state income tax law. As an S corporation, the Company was generally not subject to corporate income taxes, and the Company’s net income or loss is reported on the individual tax return of the stockholders of the Company. On July 27, 2021, the Company’s tax status changed to a C corporation. Per ASC 740-10-45-19, when deferred tax accounts are recognized or derecognized as required by paragraphs 740-10-25-32 and 740-10-40-6 due to a change in tax status, the effect of recognizing or derecognizing the deferred tax liability of asset shall be included in income from continuing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complied with state tax code, including California franchise tax. Management has evaluated its tax positions and has concluded that the Company had taken no uncertain tax positions that could require adjustment or disclosure in the financial statements to comply with provisions set forth in ASC section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represent amounts available to reduce income taxes payable in future periods. Deferred tax assets are evaluated for future realization and reduced by a valuation allowance to the extent we believe they will not be realized. We consider many factors when assessing the likelihood of future realization of our deferred tax assets, including recent cumulative loss experience and expectations of future earnings, capital gains and investment in such jurisdiction, the carry-forward periods available to us for tax reporting purposes, and other relevant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76" w:name="xdx_86B_zwcIcvNbl8We"/>
      <w:bookmarkStart w:id="277" w:name="xdx_847_ecustom--SalesTaxesPolicyTextBlo"/>
      <w:bookmarkEnd w:id="276"/>
      <w:bookmarkEnd w:id="277"/>
      <w:r>
        <w:rPr>
          <w:rFonts w:ascii="Times New Roman;Times;Serif" w:hAnsi="Times New Roman;Times;Serif"/>
          <w:b/>
          <w:i w:val="false"/>
          <w:caps w:val="false"/>
          <w:smallCaps w:val="false"/>
          <w:sz w:val="20"/>
        </w:rPr>
        <w:t xml:space="preserve">Presentation of Sales Taxes </w:t>
      </w:r>
      <w:r>
        <w:rPr>
          <w:rFonts w:ascii="Times New Roman;Times;Serif" w:hAnsi="Times New Roman;Times;Serif"/>
          <w:b w:val="false"/>
          <w:i w:val="false"/>
          <w:caps w:val="false"/>
          <w:smallCaps w:val="false"/>
          <w:sz w:val="20"/>
        </w:rPr>
        <w:t>- Governmental authorities impose sales tax on all of the Company’s sales to nonexempt customers. The Company collects sales tax from customers and remits the entire amount to the governmental authorities. The Company’s accounting policy is to exclude the tax collected and remitted from revenues and cost of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an assessment of sales tax payable including any related interest and penalties and accrues these estimated on the financial statements. Pursuant to the Wayfair decision, each state enforced sales tax collection at different dates. The company collects and remits sales tax in accordance with the state regulations. The Company estimates that as of December 31, 2022 and 2021, it owed $</w:t>
      </w:r>
      <w:bookmarkStart w:id="278" w:name="xdx_900_eus-gaap--SalesAndExciseTaxPayab"/>
      <w:bookmarkEnd w:id="278"/>
      <w:r>
        <w:rPr>
          <w:rFonts w:ascii="Times New Roman;Times;Serif" w:hAnsi="Times New Roman;Times;Serif"/>
          <w:b w:val="false"/>
          <w:i w:val="false"/>
          <w:caps w:val="false"/>
          <w:smallCaps w:val="false"/>
          <w:sz w:val="20"/>
        </w:rPr>
        <w:t>288,466 and $</w:t>
      </w:r>
      <w:bookmarkStart w:id="279" w:name="xdx_90B_eus-gaap--SalesAndExciseTaxPayab"/>
      <w:bookmarkEnd w:id="279"/>
      <w:r>
        <w:rPr>
          <w:rFonts w:ascii="Times New Roman;Times;Serif" w:hAnsi="Times New Roman;Times;Serif"/>
          <w:b w:val="false"/>
          <w:i w:val="false"/>
          <w:caps w:val="false"/>
          <w:smallCaps w:val="false"/>
          <w:sz w:val="20"/>
        </w:rPr>
        <w:t>620,963, respectively, in sales taxes along with penalties and interest resulting from late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80" w:name="xdx_867_zymj8BBwyoNh"/>
      <w:bookmarkStart w:id="281" w:name="xdx_84F_eus-gaap--ConcentrationRiskCredi"/>
      <w:bookmarkEnd w:id="280"/>
      <w:bookmarkEnd w:id="281"/>
      <w:r>
        <w:rPr>
          <w:rFonts w:ascii="Times New Roman;Times;Serif" w:hAnsi="Times New Roman;Times;Serif"/>
          <w:b/>
          <w:i w:val="false"/>
          <w:caps w:val="false"/>
          <w:smallCaps w:val="false"/>
          <w:sz w:val="20"/>
        </w:rPr>
        <w:t xml:space="preserve">Concentrations of Risks </w:t>
      </w:r>
      <w:r>
        <w:rPr>
          <w:rFonts w:ascii="Times New Roman;Times;Serif" w:hAnsi="Times New Roman;Times;Serif"/>
          <w:b w:val="false"/>
          <w:i w:val="false"/>
          <w:caps w:val="false"/>
          <w:smallCaps w:val="false"/>
          <w:sz w:val="20"/>
        </w:rPr>
        <w:t>- Financial instruments that potentially subject the Company to concentrations of credit risk consist primarily of cash and accounts receivable. The Company maintains cash with various domestic and foreign financial institutions of high credit quality. The Company performs periodic evaluations of the relative credit standing of all of the aforementioned institutions.</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F-10</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w:t>
      </w:r>
      <w:bookmarkStart w:id="282" w:name="xdx_909_eus-gaap--ConcentrationRiskCusto"/>
      <w:bookmarkEnd w:id="282"/>
      <w:r>
        <w:rPr>
          <w:rFonts w:ascii="Times New Roman;Times;Serif" w:hAnsi="Times New Roman;Times;Serif"/>
          <w:b w:val="false"/>
          <w:i w:val="false"/>
          <w:caps w:val="false"/>
          <w:smallCaps w:val="false"/>
          <w:sz w:val="20"/>
        </w:rPr>
        <w:t>During the periods ended December 31, 2022 and 2021, the Company had no customer that accounted for 10% or more of total net revenues. In addition, as of December 31, 2022 and 2021, the Company had no customer that accounted for 10% or more of gross accounts receivable. As of December 31, 2022 and 2021, all of the Company’s accounts receivable were held by the Company’s sales platform agent, Amazon, which collects money on the Company’s behalf from its customers. Therefore, the Company’s accounts receivable are comprised of receivables due from Amazon and the reimbursement from Amazon to the Company usually takes 15 to 20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During the periods ended December 31, 2022 and 2021, approximately </w:t>
      </w:r>
      <w:bookmarkStart w:id="283" w:name="xdx_908_eus-gaap--ConcentrationRiskPerce"/>
      <w:bookmarkStart w:id="284" w:name="xdx_906_eus-gaap--ConcentrationRiskPerce"/>
      <w:bookmarkEnd w:id="283"/>
      <w:bookmarkEnd w:id="284"/>
      <w:r>
        <w:rPr>
          <w:rFonts w:ascii="Times New Roman;Times;Serif" w:hAnsi="Times New Roman;Times;Serif"/>
          <w:b w:val="false"/>
          <w:i w:val="false"/>
          <w:caps w:val="false"/>
          <w:smallCaps w:val="false"/>
          <w:sz w:val="20"/>
        </w:rPr>
        <w:t>100% of the Company’s revenue was through or with the Amazon sales platform.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85" w:name="xdx_862_zpiFdMmiodid"/>
      <w:bookmarkStart w:id="286" w:name="xdx_848_eus-gaap--AdvertisingCostsPolicy"/>
      <w:bookmarkEnd w:id="285"/>
      <w:bookmarkEnd w:id="286"/>
      <w:r>
        <w:rPr>
          <w:rFonts w:ascii="Times New Roman;Times;Serif" w:hAnsi="Times New Roman;Times;Serif"/>
          <w:b/>
          <w:i w:val="false"/>
          <w:caps w:val="false"/>
          <w:smallCaps w:val="false"/>
          <w:sz w:val="20"/>
        </w:rPr>
        <w:t xml:space="preserve">Selling and Marketing </w:t>
      </w:r>
      <w:r>
        <w:rPr>
          <w:rFonts w:ascii="Times New Roman;Times;Serif" w:hAnsi="Times New Roman;Times;Serif"/>
          <w:b w:val="false"/>
          <w:i w:val="false"/>
          <w:caps w:val="false"/>
          <w:smallCaps w:val="false"/>
          <w:sz w:val="20"/>
        </w:rPr>
        <w:t>– Selling, advertising and marketing costs are expensed as incurred in accordance with ASC 720-35. Among these, advertising and promotion expenses were $</w:t>
      </w:r>
      <w:bookmarkStart w:id="287" w:name="xdx_90B_eus-gaap--AdvertisingExpense_c20"/>
      <w:bookmarkEnd w:id="287"/>
      <w:r>
        <w:rPr>
          <w:rFonts w:ascii="Times New Roman;Times;Serif" w:hAnsi="Times New Roman;Times;Serif"/>
          <w:b w:val="false"/>
          <w:i w:val="false"/>
          <w:caps w:val="false"/>
          <w:smallCaps w:val="false"/>
          <w:sz w:val="20"/>
        </w:rPr>
        <w:t>3,539,946 and $</w:t>
      </w:r>
      <w:bookmarkStart w:id="288" w:name="xdx_90A_eus-gaap--AdvertisingExpense_pp0"/>
      <w:bookmarkEnd w:id="288"/>
      <w:r>
        <w:rPr>
          <w:rFonts w:ascii="Times New Roman;Times;Serif" w:hAnsi="Times New Roman;Times;Serif"/>
          <w:b w:val="false"/>
          <w:i w:val="false"/>
          <w:caps w:val="false"/>
          <w:smallCaps w:val="false"/>
          <w:sz w:val="20"/>
        </w:rPr>
        <w:t>2,382,148 for the periods ended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89" w:name="xdx_860_zL7Wjg0u7qAe"/>
      <w:bookmarkStart w:id="290" w:name="xdx_842_eus-gaap--SellingGeneralAndAdmin"/>
      <w:bookmarkEnd w:id="289"/>
      <w:bookmarkEnd w:id="290"/>
      <w:r>
        <w:rPr>
          <w:rFonts w:ascii="Times New Roman;Times;Serif" w:hAnsi="Times New Roman;Times;Serif"/>
          <w:b/>
          <w:i w:val="false"/>
          <w:caps w:val="false"/>
          <w:smallCaps w:val="false"/>
          <w:sz w:val="20"/>
        </w:rPr>
        <w:t xml:space="preserve">General and Administrative </w:t>
      </w:r>
      <w:r>
        <w:rPr>
          <w:rFonts w:ascii="Times New Roman;Times;Serif" w:hAnsi="Times New Roman;Times;Serif"/>
          <w:b w:val="false"/>
          <w:i w:val="false"/>
          <w:caps w:val="false"/>
          <w:smallCaps w:val="false"/>
          <w:sz w:val="20"/>
        </w:rPr>
        <w:t>- General and administrative expenses are expensed as incurred in accordance with ASC 720-35.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91" w:name="xdx_86B_zhtgYDx80Y4i"/>
      <w:bookmarkStart w:id="292" w:name="xdx_84A_eus-gaap--CommitmentsAndContinge"/>
      <w:bookmarkEnd w:id="291"/>
      <w:bookmarkEnd w:id="292"/>
      <w:r>
        <w:rPr>
          <w:rFonts w:ascii="Times New Roman;Times;Serif" w:hAnsi="Times New Roman;Times;Serif"/>
          <w:b/>
          <w:i w:val="false"/>
          <w:caps w:val="false"/>
          <w:smallCaps w:val="false"/>
          <w:sz w:val="20"/>
        </w:rPr>
        <w:t xml:space="preserve">Commitments and Contingencies </w:t>
      </w:r>
      <w:r>
        <w:rPr>
          <w:rFonts w:ascii="Times New Roman;Times;Serif" w:hAnsi="Times New Roman;Times;Serif"/>
          <w:b w:val="false"/>
          <w:i w:val="false"/>
          <w:caps w:val="false"/>
          <w:smallCaps w:val="false"/>
          <w:sz w:val="20"/>
        </w:rPr>
        <w:t>-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93" w:name="xdx_86B_zjsjYKnTikg5"/>
      <w:bookmarkStart w:id="294" w:name="xdx_84E_ecustom--RelatedPartiesPolicyTex"/>
      <w:bookmarkEnd w:id="293"/>
      <w:bookmarkEnd w:id="294"/>
      <w:r>
        <w:rPr>
          <w:rFonts w:ascii="Times New Roman;Times;Serif" w:hAnsi="Times New Roman;Times;Serif"/>
          <w:b/>
          <w:i w:val="false"/>
          <w:caps w:val="false"/>
          <w:smallCaps w:val="false"/>
          <w:sz w:val="20"/>
        </w:rPr>
        <w:t xml:space="preserve">Related Parties </w:t>
      </w:r>
      <w:r>
        <w:rPr>
          <w:rFonts w:ascii="Times New Roman;Times;Serif" w:hAnsi="Times New Roman;Times;Serif"/>
          <w:b w:val="false"/>
          <w:i w:val="false"/>
          <w:caps w:val="false"/>
          <w:smallCaps w:val="false"/>
          <w:sz w:val="20"/>
        </w:rPr>
        <w:t>- The Company accounts for related party transactions in accordance with FASB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95" w:name="xdx_860_z3GZz3tPKm42"/>
      <w:bookmarkStart w:id="296" w:name="xdx_84E_eus-gaap--EarningsPerSharePolicy"/>
      <w:bookmarkEnd w:id="295"/>
      <w:bookmarkEnd w:id="296"/>
      <w:r>
        <w:rPr>
          <w:rFonts w:ascii="Times New Roman;Times;Serif" w:hAnsi="Times New Roman;Times;Serif"/>
          <w:b/>
          <w:i w:val="false"/>
          <w:caps w:val="false"/>
          <w:smallCaps w:val="false"/>
          <w:sz w:val="20"/>
        </w:rPr>
        <w:t>Earnings per Share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EPS for the year ended December 31, 2022 and 2021. Therefore, the diluted earnings per share is the same as basic earnings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issuance for Stock Compensation - Compensation cost for all equity-classified stock awards expected to vest is measured at fair value on the date of grant and recognized over the service period.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lived assets- In accordance with ASC 360-10-35-17, if the carrying amount of an asset or asset group (in use or under 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not record any impairment charges for the years ended December 31, 2022 and 2021.</w:t>
      </w:r>
    </w:p>
    <w:p>
      <w:pPr>
        <w:pStyle w:val="TextBody"/>
        <w:spacing w:before="0" w:after="0"/>
        <w:ind w:left="0" w:right="0" w:hanging="0"/>
        <w:jc w:val="both"/>
        <w:rPr>
          <w:caps w:val="false"/>
          <w:smallCaps w:val="false"/>
        </w:rPr>
      </w:pPr>
      <w:bookmarkStart w:id="297" w:name="xdx_85E_zqcj4Gj3TH93"/>
      <w:bookmarkEnd w:id="297"/>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F-11</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98" w:name="xdx_80B_eus-gaap--NewAccountingPronounce"/>
      <w:bookmarkEnd w:id="298"/>
      <w:r>
        <w:rPr>
          <w:rFonts w:ascii="Times New Roman;Times;Serif" w:hAnsi="Times New Roman;Times;Serif"/>
          <w:b/>
          <w:i w:val="false"/>
          <w:caps w:val="false"/>
          <w:smallCaps w:val="false"/>
          <w:sz w:val="20"/>
        </w:rPr>
        <w:t xml:space="preserve">NOTE 2 - </w:t>
      </w:r>
      <w:bookmarkStart w:id="299" w:name="xdx_821_zo5Xi6WfyLO7"/>
      <w:bookmarkEnd w:id="299"/>
      <w:r>
        <w:rPr>
          <w:rFonts w:ascii="Times New Roman;Times;Serif" w:hAnsi="Times New Roman;Times;Serif"/>
          <w:b/>
          <w:i w:val="false"/>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issues Accounting Standards Updates (each, an “ASU”) to amend the authoritative literature in the ASC. There have been several ASUs to date that amend the original text of the ASCs. Other than those discussed below, the Company believes those ASUs issued to date either (i) provide supplemental guidance, (ii) are technical corrections, (iii) are not applicable to the Company or (iv) are not expected to have a significant impact on the Company.</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 of Prior Year Presentation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in current year financials have been reclassified in conformity with the current year financial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00" w:name="xdx_80D_eus-gaap--CashAndCashEquivalents"/>
      <w:bookmarkEnd w:id="300"/>
      <w:r>
        <w:rPr>
          <w:rFonts w:ascii="Times New Roman;Times;Serif" w:hAnsi="Times New Roman;Times;Serif"/>
          <w:b/>
          <w:i w:val="false"/>
          <w:caps w:val="false"/>
          <w:smallCaps w:val="false"/>
          <w:sz w:val="20"/>
        </w:rPr>
        <w:t xml:space="preserve">NOTE 3 - </w:t>
      </w:r>
      <w:bookmarkStart w:id="301" w:name="xdx_829_zA0wdxQFio8k"/>
      <w:bookmarkEnd w:id="301"/>
      <w:r>
        <w:rPr>
          <w:rFonts w:ascii="Times New Roman;Times;Serif" w:hAnsi="Times New Roman;Times;Serif"/>
          <w:b/>
          <w:i w:val="false"/>
          <w:caps w:val="false"/>
          <w:smallCaps w:val="false"/>
          <w:sz w:val="20"/>
        </w:rPr>
        <w:t>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02" w:name="xdx_896_eus-gaap--ScheduleOfCashAndCashE"/>
      <w:bookmarkEnd w:id="302"/>
      <w:r>
        <w:rPr>
          <w:rFonts w:ascii="Times New Roman;Times;Serif" w:hAnsi="Times New Roman;Times;Serif"/>
          <w:b w:val="false"/>
          <w:i w:val="false"/>
          <w:caps w:val="false"/>
          <w:smallCaps w:val="false"/>
          <w:sz w:val="20"/>
        </w:rPr>
        <w:t>Cash and cash equivalents was comprised of the following as of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303" w:name="xdx_8B1_zBWvjrYyCUOf"/>
      <w:bookmarkEnd w:id="303"/>
      <w:r>
        <w:rPr>
          <w:rFonts w:ascii="Times New Roman;Times;Serif" w:hAnsi="Times New Roman;Times;Serif"/>
          <w:b w:val="false"/>
          <w:i w:val="false"/>
          <w:caps w:val="false"/>
          <w:smallCaps w:val="false"/>
          <w:sz w:val="20"/>
        </w:rPr>
        <w:t>Schedule of Cash and Cash Equivalents</w:t>
      </w:r>
    </w:p>
    <w:tbl>
      <w:tblPr>
        <w:tblW w:w="4633" w:type="dxa"/>
        <w:jc w:val="left"/>
        <w:tblInd w:w="0" w:type="dxa"/>
        <w:tblCellMar>
          <w:top w:w="0" w:type="dxa"/>
          <w:left w:w="0" w:type="dxa"/>
          <w:bottom w:w="0" w:type="dxa"/>
          <w:right w:w="0" w:type="dxa"/>
        </w:tblCellMar>
      </w:tblPr>
      <w:tblGrid>
        <w:gridCol w:w="2120"/>
        <w:gridCol w:w="60"/>
        <w:gridCol w:w="145"/>
        <w:gridCol w:w="984"/>
        <w:gridCol w:w="60"/>
        <w:gridCol w:w="60"/>
        <w:gridCol w:w="131"/>
        <w:gridCol w:w="998"/>
        <w:gridCol w:w="75"/>
      </w:tblGrid>
      <w:tr>
        <w:trPr/>
        <w:tc>
          <w:tcPr>
            <w:tcW w:w="212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04" w:name="xdx_49B_20221231_zAkZO5LELcLe"/>
            <w:bookmarkEnd w:id="304"/>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05" w:name="xdx_498_20211231_z7FIYkcod6Vb"/>
            <w:bookmarkEnd w:id="305"/>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2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2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bookmarkStart w:id="306" w:name="xdx_401_eus-gaap--CashAndDueFromBanks_iI"/>
            <w:bookmarkEnd w:id="306"/>
          </w:p>
        </w:tc>
      </w:tr>
      <w:tr>
        <w:trPr/>
        <w:tc>
          <w:tcPr>
            <w:tcW w:w="21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Checking account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4,561,206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10,591,158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07" w:name="xdx_401_eus-gaap--InterestBearingDeposit"/>
            <w:bookmarkEnd w:id="307"/>
          </w:p>
        </w:tc>
      </w:tr>
      <w:tr>
        <w:trPr/>
        <w:tc>
          <w:tcPr>
            <w:tcW w:w="212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Savings account and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08" w:name="xdx_40C_eus-gaap--CashAndCashEquivalents"/>
            <w:bookmarkEnd w:id="308"/>
          </w:p>
        </w:tc>
      </w:tr>
      <w:tr>
        <w:trPr/>
        <w:tc>
          <w:tcPr>
            <w:tcW w:w="212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4,562,589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10,592,572</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309" w:name="xdx_8A9_zgudvDmJDgad"/>
      <w:bookmarkEnd w:id="309"/>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10" w:name="xdx_800_eus-gaap--InventoryDisclosureTex"/>
      <w:bookmarkEnd w:id="310"/>
      <w:r>
        <w:rPr>
          <w:rFonts w:ascii="Times New Roman;Times;Serif" w:hAnsi="Times New Roman;Times;Serif"/>
          <w:b/>
          <w:i w:val="false"/>
          <w:caps w:val="false"/>
          <w:smallCaps w:val="false"/>
          <w:sz w:val="20"/>
        </w:rPr>
        <w:t xml:space="preserve">NOTE 4 - </w:t>
      </w:r>
      <w:bookmarkStart w:id="311" w:name="xdx_821_zCIDX4ZZB4k9"/>
      <w:bookmarkEnd w:id="311"/>
      <w:r>
        <w:rPr>
          <w:rFonts w:ascii="Times New Roman;Times;Serif" w:hAnsi="Times New Roman;Times;Serif"/>
          <w:b/>
          <w:i w:val="false"/>
          <w:caps w:val="false"/>
          <w:smallCaps w:val="false"/>
          <w:sz w:val="20"/>
        </w:rPr>
        <w:t>Inventory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12" w:name="xdx_893_eus-gaap--ScheduleOfInventoryCur"/>
      <w:bookmarkEnd w:id="312"/>
      <w:r>
        <w:rPr>
          <w:rFonts w:ascii="Times New Roman;Times;Serif" w:hAnsi="Times New Roman;Times;Serif"/>
          <w:b w:val="false"/>
          <w:i w:val="false"/>
          <w:caps w:val="false"/>
          <w:smallCaps w:val="false"/>
          <w:sz w:val="20"/>
        </w:rPr>
        <w:t>Inventory was comprised of the following as of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313" w:name="xdx_8B6_zKO95kIof43a"/>
      <w:bookmarkEnd w:id="313"/>
      <w:r>
        <w:rPr>
          <w:rFonts w:ascii="Times New Roman;Times;Serif" w:hAnsi="Times New Roman;Times;Serif"/>
          <w:b w:val="false"/>
          <w:i w:val="false"/>
          <w:caps w:val="false"/>
          <w:smallCaps w:val="false"/>
          <w:sz w:val="20"/>
        </w:rPr>
        <w:t>Schedule of Inventory</w:t>
      </w:r>
    </w:p>
    <w:tbl>
      <w:tblPr>
        <w:tblW w:w="4178" w:type="dxa"/>
        <w:jc w:val="left"/>
        <w:tblInd w:w="0" w:type="dxa"/>
        <w:tblCellMar>
          <w:top w:w="0" w:type="dxa"/>
          <w:left w:w="0" w:type="dxa"/>
          <w:bottom w:w="0" w:type="dxa"/>
          <w:right w:w="0" w:type="dxa"/>
        </w:tblCellMar>
      </w:tblPr>
      <w:tblGrid>
        <w:gridCol w:w="1625"/>
        <w:gridCol w:w="60"/>
        <w:gridCol w:w="131"/>
        <w:gridCol w:w="998"/>
        <w:gridCol w:w="80"/>
        <w:gridCol w:w="60"/>
        <w:gridCol w:w="145"/>
        <w:gridCol w:w="984"/>
        <w:gridCol w:w="95"/>
      </w:tblGrid>
      <w:tr>
        <w:trPr/>
        <w:tc>
          <w:tcPr>
            <w:tcW w:w="16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14" w:name="xdx_497_20221231_zFT8CSAFtwCa"/>
            <w:bookmarkEnd w:id="314"/>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15" w:name="xdx_49F_20211231_zWuRB1gp8jT8"/>
            <w:bookmarkEnd w:id="315"/>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316" w:name="xdx_403_eus-gaap--InventoryFinishedGoods"/>
            <w:bookmarkEnd w:id="316"/>
          </w:p>
        </w:tc>
      </w:tr>
      <w:tr>
        <w:trPr/>
        <w:tc>
          <w:tcPr>
            <w:tcW w:w="16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14,911,735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5,852,658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17" w:name="xdx_405_eus-gaap--OtherInventoryInTransi"/>
            <w:bookmarkEnd w:id="317"/>
          </w:p>
        </w:tc>
      </w:tr>
      <w:tr>
        <w:trPr/>
        <w:tc>
          <w:tcPr>
            <w:tcW w:w="16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Inventory-in-transit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4,732,057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1,373,926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318" w:name="xdx_406_eus-gaap--InventoryValuationRese"/>
            <w:bookmarkEnd w:id="318"/>
          </w:p>
        </w:tc>
      </w:tr>
      <w:tr>
        <w:trPr/>
        <w:tc>
          <w:tcPr>
            <w:tcW w:w="16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(842,263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(184,720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9" w:name="xdx_40E_eus-gaap--InventoryNet_iTI_pp0p0"/>
            <w:bookmarkEnd w:id="319"/>
          </w:p>
        </w:tc>
      </w:tr>
      <w:tr>
        <w:trPr/>
        <w:tc>
          <w:tcPr>
            <w:tcW w:w="16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18,801,529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7,041,864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320" w:name="xdx_8A7_zg6JtWc4CWXd"/>
      <w:bookmarkEnd w:id="320"/>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21" w:name="xdx_89B_ecustom--ScheduleOfInventoryProv"/>
      <w:bookmarkEnd w:id="321"/>
      <w:r>
        <w:rPr>
          <w:rFonts w:ascii="Times New Roman;Times;Serif" w:hAnsi="Times New Roman;Times;Serif"/>
          <w:b w:val="false"/>
          <w:i w:val="false"/>
          <w:caps w:val="false"/>
          <w:smallCaps w:val="false"/>
          <w:sz w:val="20"/>
        </w:rPr>
        <w:t>For the fiscal period December 31, 2022 and 2021, the Company recorded inventory provision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322" w:name="xdx_8BD_zqnxKItmh6n7"/>
      <w:bookmarkEnd w:id="322"/>
      <w:r>
        <w:rPr>
          <w:rFonts w:ascii="Times New Roman;Times;Serif" w:hAnsi="Times New Roman;Times;Serif"/>
          <w:b w:val="false"/>
          <w:i w:val="false"/>
          <w:caps w:val="false"/>
          <w:smallCaps w:val="false"/>
          <w:sz w:val="20"/>
        </w:rPr>
        <w:t>Schedule of Inventory Provision</w:t>
      </w:r>
    </w:p>
    <w:tbl>
      <w:tblPr>
        <w:tblW w:w="4508" w:type="dxa"/>
        <w:jc w:val="left"/>
        <w:tblInd w:w="0" w:type="dxa"/>
        <w:tblCellMar>
          <w:top w:w="0" w:type="dxa"/>
          <w:left w:w="0" w:type="dxa"/>
          <w:bottom w:w="0" w:type="dxa"/>
          <w:right w:w="0" w:type="dxa"/>
        </w:tblCellMar>
      </w:tblPr>
      <w:tblGrid>
        <w:gridCol w:w="1955"/>
        <w:gridCol w:w="60"/>
        <w:gridCol w:w="171"/>
        <w:gridCol w:w="958"/>
        <w:gridCol w:w="80"/>
        <w:gridCol w:w="60"/>
        <w:gridCol w:w="160"/>
        <w:gridCol w:w="969"/>
        <w:gridCol w:w="95"/>
      </w:tblGrid>
      <w:tr>
        <w:trPr/>
        <w:tc>
          <w:tcPr>
            <w:tcW w:w="195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23" w:name="xdx_49E_20220101__20221231_z8FK11QTIdz9"/>
            <w:bookmarkEnd w:id="323"/>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24" w:name="xdx_490_20210101__20211231_zC8vwgLOmygi"/>
            <w:bookmarkEnd w:id="324"/>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5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of inventory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25" w:name="xdx_40C_eus-gaap--InventoryValuationRese"/>
            <w:bookmarkEnd w:id="325"/>
          </w:p>
        </w:tc>
      </w:tr>
      <w:tr>
        <w:trPr/>
        <w:tc>
          <w:tcPr>
            <w:tcW w:w="19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184,720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431,313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326" w:name="xdx_400_ecustom--InventoryProvision_z6QU"/>
            <w:bookmarkEnd w:id="326"/>
          </w:p>
        </w:tc>
      </w:tr>
      <w:tr>
        <w:trPr/>
        <w:tc>
          <w:tcPr>
            <w:tcW w:w="19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665,356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116,359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27" w:name="xdx_40C_ecustom--InventoryWriteOffValue_"/>
            <w:bookmarkEnd w:id="327"/>
          </w:p>
        </w:tc>
      </w:tr>
      <w:tr>
        <w:trPr/>
        <w:tc>
          <w:tcPr>
            <w:tcW w:w="19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off</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(362,952</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8" w:name="xdx_40B_eus-gaap--InventoryValuationRese"/>
            <w:bookmarkEnd w:id="328"/>
          </w:p>
        </w:tc>
      </w:tr>
      <w:tr>
        <w:trPr/>
        <w:tc>
          <w:tcPr>
            <w:tcW w:w="19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842,263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184,720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329" w:name="xdx_8A7_zPZePM1V3nVd"/>
      <w:bookmarkEnd w:id="329"/>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of inventory is recorded under cost of goods sold in the income statement.</w:t>
      </w:r>
    </w:p>
    <w:p>
      <w:pPr>
        <w:pStyle w:val="TextBody"/>
        <w:spacing w:before="0" w:after="0"/>
        <w:ind w:left="0" w:right="0" w:hanging="0"/>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30" w:name="xdx_807_eus-gaap--PropertyPlantAndEquipm"/>
      <w:bookmarkEnd w:id="330"/>
      <w:r>
        <w:rPr>
          <w:rFonts w:ascii="Times New Roman;Times;Serif" w:hAnsi="Times New Roman;Times;Serif"/>
          <w:b/>
          <w:i w:val="false"/>
          <w:caps w:val="false"/>
          <w:smallCaps w:val="false"/>
          <w:sz w:val="20"/>
        </w:rPr>
        <w:t xml:space="preserve">NOTE 5 - </w:t>
      </w:r>
      <w:bookmarkStart w:id="331" w:name="xdx_823_zO2VzxInZyv6"/>
      <w:bookmarkEnd w:id="331"/>
      <w:r>
        <w:rPr>
          <w:rFonts w:ascii="Times New Roman;Times;Serif" w:hAnsi="Times New Roman;Times;Serif"/>
          <w:b/>
          <w:i w:val="false"/>
          <w:caps w:val="false"/>
          <w:smallCaps w:val="false"/>
          <w:sz w:val="20"/>
        </w:rPr>
        <w:t>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32" w:name="xdx_898_eus-gaap--PropertyPlantAndEquipm"/>
      <w:bookmarkEnd w:id="332"/>
      <w:r>
        <w:rPr>
          <w:rFonts w:ascii="Times New Roman;Times;Serif" w:hAnsi="Times New Roman;Times;Serif"/>
          <w:b w:val="false"/>
          <w:i w:val="false"/>
          <w:caps w:val="false"/>
          <w:smallCaps w:val="false"/>
          <w:sz w:val="20"/>
        </w:rPr>
        <w:t>Property and equipment was comprised of the following as of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33" w:name="xdx_8B7_z6niCc0CN5pa"/>
      <w:bookmarkEnd w:id="333"/>
      <w:r>
        <w:rPr>
          <w:rFonts w:ascii="Times New Roman;Times;Serif" w:hAnsi="Times New Roman;Times;Serif"/>
          <w:b/>
          <w:i w:val="false"/>
          <w:caps w:val="false"/>
          <w:smallCaps w:val="false"/>
          <w:sz w:val="20"/>
        </w:rPr>
        <w:t>Schedule of Property and Equipment</w:t>
      </w:r>
    </w:p>
    <w:tbl>
      <w:tblPr>
        <w:tblW w:w="6158" w:type="dxa"/>
        <w:jc w:val="left"/>
        <w:tblInd w:w="0" w:type="dxa"/>
        <w:tblCellMar>
          <w:top w:w="0" w:type="dxa"/>
          <w:left w:w="0" w:type="dxa"/>
          <w:bottom w:w="0" w:type="dxa"/>
          <w:right w:w="0" w:type="dxa"/>
        </w:tblCellMar>
      </w:tblPr>
      <w:tblGrid>
        <w:gridCol w:w="3605"/>
        <w:gridCol w:w="60"/>
        <w:gridCol w:w="171"/>
        <w:gridCol w:w="958"/>
        <w:gridCol w:w="80"/>
        <w:gridCol w:w="60"/>
        <w:gridCol w:w="197"/>
        <w:gridCol w:w="932"/>
        <w:gridCol w:w="95"/>
      </w:tblGrid>
      <w:tr>
        <w:trPr/>
        <w:tc>
          <w:tcPr>
            <w:tcW w:w="36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34" w:name="xdx_497_20221231_zWp9gfb1VmR6"/>
            <w:bookmarkEnd w:id="334"/>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35" w:name="xdx_49C_20211231_zg6h08edQVR7"/>
            <w:bookmarkEnd w:id="335"/>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336" w:name="xdx_408_eus-gaap--PropertyPlantAndEquipm"/>
            <w:bookmarkEnd w:id="336"/>
          </w:p>
        </w:tc>
      </w:tr>
      <w:tr>
        <w:trPr/>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353,574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37" w:name="xdx_401_eus-gaap--AccumulatedDepreciatio"/>
            <w:bookmarkEnd w:id="337"/>
          </w:p>
        </w:tc>
      </w:tr>
      <w:tr>
        <w:trPr/>
        <w:tc>
          <w:tcPr>
            <w:tcW w:w="36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(79,379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8" w:name="xdx_403_eus-gaap--PropertyPlantAndEquipm"/>
            <w:bookmarkEnd w:id="338"/>
          </w:p>
        </w:tc>
      </w:tr>
      <w:tr>
        <w:trPr/>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274,195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339" w:name="xdx_8AE_zY1yK4nYjZYd"/>
      <w:bookmarkEnd w:id="339"/>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and 2021, the Company purchased $</w:t>
      </w:r>
      <w:bookmarkStart w:id="340" w:name="xdx_908_eus-gaap--PaymentsToAcquirePrope"/>
      <w:bookmarkEnd w:id="340"/>
      <w:r>
        <w:rPr>
          <w:rFonts w:ascii="Times New Roman;Times;Serif" w:hAnsi="Times New Roman;Times;Serif"/>
          <w:b w:val="false"/>
          <w:i w:val="false"/>
          <w:caps w:val="false"/>
          <w:smallCaps w:val="false"/>
          <w:sz w:val="20"/>
        </w:rPr>
        <w:t>339,518 and $</w:t>
      </w:r>
      <w:bookmarkStart w:id="341" w:name="xdx_909_eus-gaap--PaymentsToAcquirePrope"/>
      <w:bookmarkEnd w:id="341"/>
      <w:r>
        <w:rPr>
          <w:rFonts w:ascii="Times New Roman;Times;Serif" w:hAnsi="Times New Roman;Times;Serif"/>
          <w:b w:val="false"/>
          <w:i w:val="false"/>
          <w:caps w:val="false"/>
          <w:smallCaps w:val="false"/>
          <w:sz w:val="20"/>
        </w:rPr>
        <w:t>16,115, for fixtures, and equipment, respectively.</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and 2021, the Company had $</w:t>
      </w:r>
      <w:bookmarkStart w:id="342" w:name="xdx_906_eus-gaap--Depreciation_c20220101"/>
      <w:bookmarkEnd w:id="342"/>
      <w:r>
        <w:rPr>
          <w:rFonts w:ascii="Times New Roman;Times;Serif" w:hAnsi="Times New Roman;Times;Serif"/>
          <w:b w:val="false"/>
          <w:i w:val="false"/>
          <w:caps w:val="false"/>
          <w:smallCaps w:val="false"/>
          <w:sz w:val="20"/>
        </w:rPr>
        <w:t>79,084 and $</w:t>
      </w:r>
      <w:bookmarkStart w:id="343" w:name="xdx_909_eus-gaap--Depreciation_c20210101"/>
      <w:bookmarkEnd w:id="343"/>
      <w:r>
        <w:rPr>
          <w:rFonts w:ascii="Times New Roman;Times;Serif" w:hAnsi="Times New Roman;Times;Serif"/>
          <w:b w:val="false"/>
          <w:i w:val="false"/>
          <w:caps w:val="false"/>
          <w:smallCaps w:val="false"/>
          <w:sz w:val="20"/>
        </w:rPr>
        <w:t>448, for depreciation,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periods ended December 31, 2022 and 2021, the Company had </w:t>
      </w:r>
      <w:bookmarkStart w:id="344" w:name="xdx_907_ecustom--DisposalOrPledge_do_c20"/>
      <w:bookmarkStart w:id="345" w:name="xdx_906_ecustom--DisposalOrPledge_do_c20"/>
      <w:bookmarkEnd w:id="344"/>
      <w:bookmarkEnd w:id="345"/>
      <w:r>
        <w:rPr>
          <w:rFonts w:ascii="Times New Roman;Times;Serif" w:hAnsi="Times New Roman;Times;Serif"/>
          <w:b w:val="false"/>
          <w:i w:val="false"/>
          <w:caps w:val="false"/>
          <w:smallCaps w:val="false"/>
          <w:sz w:val="20"/>
        </w:rPr>
        <w:t>no disposal or pledge,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46" w:name="xdx_800_eus-gaap--OtherCurrentAssetsText"/>
      <w:bookmarkEnd w:id="346"/>
      <w:r>
        <w:rPr>
          <w:rFonts w:ascii="Times New Roman;Times;Serif" w:hAnsi="Times New Roman;Times;Serif"/>
          <w:b/>
          <w:i w:val="false"/>
          <w:caps w:val="false"/>
          <w:smallCaps w:val="false"/>
          <w:sz w:val="20"/>
        </w:rPr>
        <w:t xml:space="preserve">NOTE 6 - </w:t>
      </w:r>
      <w:bookmarkStart w:id="347" w:name="xdx_821_zNDZQf91auGh"/>
      <w:bookmarkEnd w:id="347"/>
      <w:r>
        <w:rPr>
          <w:rFonts w:ascii="Times New Roman;Times;Serif" w:hAnsi="Times New Roman;Times;Serif"/>
          <w:b/>
          <w:i w:val="false"/>
          <w:caps w:val="false"/>
          <w:smallCaps w:val="false"/>
          <w:sz w:val="20"/>
        </w:rPr>
        <w:t>Prepaid Expenses and Other Current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48" w:name="xdx_89C_eus-gaap--DeferredCostsCapitaliz"/>
      <w:bookmarkEnd w:id="348"/>
      <w:r>
        <w:rPr>
          <w:rFonts w:ascii="Times New Roman;Times;Serif" w:hAnsi="Times New Roman;Times;Serif"/>
          <w:b w:val="false"/>
          <w:i w:val="false"/>
          <w:caps w:val="false"/>
          <w:smallCaps w:val="false"/>
          <w:sz w:val="20"/>
        </w:rPr>
        <w:t>Prepaid expenses and other current assets was comprised of the following as of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49" w:name="xdx_8B0_zGR4qcC3Nuzk"/>
      <w:bookmarkEnd w:id="349"/>
      <w:r>
        <w:rPr>
          <w:rFonts w:ascii="Times New Roman;Times;Serif" w:hAnsi="Times New Roman;Times;Serif"/>
          <w:b/>
          <w:i w:val="false"/>
          <w:caps w:val="false"/>
          <w:smallCaps w:val="false"/>
          <w:sz w:val="20"/>
        </w:rPr>
        <w:t>Schedule of Prepaid Expenses and Other Current Assets</w:t>
      </w:r>
    </w:p>
    <w:tbl>
      <w:tblPr>
        <w:tblW w:w="4678" w:type="dxa"/>
        <w:jc w:val="left"/>
        <w:tblInd w:w="0" w:type="dxa"/>
        <w:tblCellMar>
          <w:top w:w="0" w:type="dxa"/>
          <w:left w:w="0" w:type="dxa"/>
          <w:bottom w:w="0" w:type="dxa"/>
          <w:right w:w="0" w:type="dxa"/>
        </w:tblCellMar>
      </w:tblPr>
      <w:tblGrid>
        <w:gridCol w:w="2165"/>
        <w:gridCol w:w="60"/>
        <w:gridCol w:w="171"/>
        <w:gridCol w:w="958"/>
        <w:gridCol w:w="60"/>
        <w:gridCol w:w="60"/>
        <w:gridCol w:w="171"/>
        <w:gridCol w:w="958"/>
        <w:gridCol w:w="75"/>
      </w:tblGrid>
      <w:tr>
        <w:trPr/>
        <w:tc>
          <w:tcPr>
            <w:tcW w:w="21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350" w:name="xdx_497_20221231_zqSxgC0mKAef"/>
            <w:bookmarkEnd w:id="350"/>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351" w:name="xdx_494_20211231_zkr5VcYmRVgi"/>
            <w:bookmarkEnd w:id="351"/>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1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1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bookmarkStart w:id="352" w:name="xdx_407_eus-gaap--Supplies_iI_pp0p0_maPE"/>
            <w:bookmarkEnd w:id="352"/>
          </w:p>
        </w:tc>
      </w:tr>
      <w:tr>
        <w:trPr/>
        <w:tc>
          <w:tcPr>
            <w:tcW w:w="21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78,875</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53" w:name="xdx_408_ecustom--PrepaidExpensesIPOCostC"/>
            <w:bookmarkEnd w:id="353"/>
          </w:p>
        </w:tc>
      </w:tr>
      <w:tr>
        <w:trPr/>
        <w:tc>
          <w:tcPr>
            <w:tcW w:w="21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expenses-IPO cost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576,168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54" w:name="xdx_40A_eus-gaap--OtherPrepaidExpenseCur"/>
            <w:bookmarkEnd w:id="354"/>
          </w:p>
        </w:tc>
      </w:tr>
      <w:tr>
        <w:trPr/>
        <w:tc>
          <w:tcPr>
            <w:tcW w:w="21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55,731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120,899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55" w:name="xdx_40B_ecustom--LeaseRefundableDepositC"/>
            <w:bookmarkEnd w:id="355"/>
          </w:p>
        </w:tc>
      </w:tr>
      <w:tr>
        <w:trPr/>
        <w:tc>
          <w:tcPr>
            <w:tcW w:w="21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refundable deposit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80,235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70,554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56" w:name="xdx_408_eus-gaap--PrepaidTaxes_iI_maPEAO"/>
            <w:bookmarkEnd w:id="356"/>
          </w:p>
        </w:tc>
      </w:tr>
      <w:tr>
        <w:trPr/>
        <w:tc>
          <w:tcPr>
            <w:tcW w:w="21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413,895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57" w:name="xdx_40C_eus-gaap--OtherAssetsCurrent_iI_"/>
            <w:bookmarkEnd w:id="357"/>
          </w:p>
        </w:tc>
      </w:tr>
      <w:tr>
        <w:trPr/>
        <w:tc>
          <w:tcPr>
            <w:tcW w:w="21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58" w:name="xdx_40F_eus-gaap--PrepaidExpenseAndOther"/>
            <w:bookmarkEnd w:id="358"/>
          </w:p>
        </w:tc>
      </w:tr>
      <w:tr>
        <w:trPr/>
        <w:tc>
          <w:tcPr>
            <w:tcW w:w="216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741,243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965,298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there is a tax receivable of $</w:t>
      </w:r>
      <w:bookmarkStart w:id="359" w:name="xdx_90D_eus-gaap--PrepaidTaxes_iI_c20221"/>
      <w:bookmarkEnd w:id="359"/>
      <w:r>
        <w:rPr>
          <w:rFonts w:ascii="Times New Roman;Times;Serif" w:hAnsi="Times New Roman;Times;Serif"/>
          <w:b w:val="false"/>
          <w:i w:val="false"/>
          <w:caps w:val="false"/>
          <w:smallCaps w:val="false"/>
          <w:sz w:val="20"/>
        </w:rPr>
        <w:t>413,895 and $</w:t>
      </w:r>
      <w:bookmarkStart w:id="360" w:name="xdx_90B_eus-gaap--PrepaidTaxes_iI_c20211"/>
      <w:bookmarkEnd w:id="360"/>
      <w:r>
        <w:rPr>
          <w:rFonts w:ascii="Times New Roman;Times;Serif" w:hAnsi="Times New Roman;Times;Serif"/>
          <w:b w:val="false"/>
          <w:i w:val="false"/>
          <w:caps w:val="false"/>
          <w:smallCaps w:val="false"/>
          <w:sz w:val="20"/>
        </w:rPr>
        <w:t>114,640 due to prepaid income taxes, respectively.</w:t>
      </w:r>
    </w:p>
    <w:p>
      <w:pPr>
        <w:pStyle w:val="TextBody"/>
        <w:spacing w:before="0" w:after="0"/>
        <w:ind w:left="0" w:right="0" w:hanging="0"/>
        <w:rPr>
          <w:caps w:val="false"/>
          <w:smallCaps w:val="false"/>
        </w:rPr>
      </w:pPr>
      <w:bookmarkStart w:id="361" w:name="xdx_8A4_z9o06nRszIq8"/>
      <w:bookmarkEnd w:id="361"/>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62" w:name="xdx_809_eus-gaap--AccountsPayableAccrued"/>
      <w:bookmarkEnd w:id="362"/>
      <w:r>
        <w:rPr>
          <w:rFonts w:ascii="Times New Roman;Times;Serif" w:hAnsi="Times New Roman;Times;Serif"/>
          <w:b/>
          <w:i w:val="false"/>
          <w:caps w:val="false"/>
          <w:smallCaps w:val="false"/>
          <w:sz w:val="20"/>
        </w:rPr>
        <w:t xml:space="preserve">NOTE 7 - </w:t>
      </w:r>
      <w:bookmarkStart w:id="363" w:name="xdx_82A_zDXlrlMYSqMi"/>
      <w:bookmarkEnd w:id="363"/>
      <w:r>
        <w:rPr>
          <w:rFonts w:ascii="Times New Roman;Times;Serif" w:hAnsi="Times New Roman;Times;Serif"/>
          <w:b/>
          <w:i w:val="false"/>
          <w:caps w:val="false"/>
          <w:smallCaps w:val="false"/>
          <w:sz w:val="20"/>
        </w:rPr>
        <w:t>Accrued Expenses and Other Current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64" w:name="xdx_89B_eus-gaap--ScheduleOfAccruedLiabi"/>
      <w:bookmarkEnd w:id="364"/>
      <w:r>
        <w:rPr>
          <w:rFonts w:ascii="Times New Roman;Times;Serif" w:hAnsi="Times New Roman;Times;Serif"/>
          <w:b w:val="false"/>
          <w:i w:val="false"/>
          <w:caps w:val="false"/>
          <w:smallCaps w:val="false"/>
          <w:sz w:val="20"/>
        </w:rPr>
        <w:t>Accrued expenses and other current liabilities were comprised of the following as of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365" w:name="xdx_8BE_zQdRXxITxtYf"/>
      <w:bookmarkEnd w:id="365"/>
      <w:r>
        <w:rPr>
          <w:rFonts w:ascii="Times New Roman;Times;Serif" w:hAnsi="Times New Roman;Times;Serif"/>
          <w:b w:val="false"/>
          <w:i w:val="false"/>
          <w:caps w:val="false"/>
          <w:smallCaps w:val="false"/>
          <w:sz w:val="20"/>
        </w:rPr>
        <w:t>Schedule of Accrued Expenses and Other Current Liabilities</w:t>
      </w:r>
    </w:p>
    <w:tbl>
      <w:tblPr>
        <w:tblW w:w="4003" w:type="dxa"/>
        <w:jc w:val="left"/>
        <w:tblInd w:w="0" w:type="dxa"/>
        <w:tblCellMar>
          <w:top w:w="0" w:type="dxa"/>
          <w:left w:w="0" w:type="dxa"/>
          <w:bottom w:w="0" w:type="dxa"/>
          <w:right w:w="0" w:type="dxa"/>
        </w:tblCellMar>
      </w:tblPr>
      <w:tblGrid>
        <w:gridCol w:w="1490"/>
        <w:gridCol w:w="60"/>
        <w:gridCol w:w="145"/>
        <w:gridCol w:w="984"/>
        <w:gridCol w:w="60"/>
        <w:gridCol w:w="60"/>
        <w:gridCol w:w="145"/>
        <w:gridCol w:w="984"/>
        <w:gridCol w:w="75"/>
      </w:tblGrid>
      <w:tr>
        <w:trPr/>
        <w:tc>
          <w:tcPr>
            <w:tcW w:w="14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66" w:name="xdx_497_20221231_zNNoK5rgY2he"/>
            <w:bookmarkEnd w:id="366"/>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67" w:name="xdx_49A_20211231_zRXeOKtVABl9"/>
            <w:bookmarkEnd w:id="367"/>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4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4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bookmarkStart w:id="368" w:name="xdx_40D_ecustom--AccruedSalesTaxPayableC"/>
            <w:bookmarkEnd w:id="368"/>
          </w:p>
        </w:tc>
      </w:tr>
      <w:tr>
        <w:trPr/>
        <w:tc>
          <w:tcPr>
            <w:tcW w:w="14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288,466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620,963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69" w:name="xdx_408_eus-gaap--AccruedSalariesCurrent"/>
            <w:bookmarkEnd w:id="369"/>
          </w:p>
        </w:tc>
      </w:tr>
      <w:tr>
        <w:trPr/>
        <w:tc>
          <w:tcPr>
            <w:tcW w:w="14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122,585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70" w:name="xdx_404_eus-gaap--AccruedBonusesCurrent_"/>
            <w:bookmarkEnd w:id="370"/>
          </w:p>
        </w:tc>
      </w:tr>
      <w:tr>
        <w:trPr/>
        <w:tc>
          <w:tcPr>
            <w:tcW w:w="14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bonus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468,209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353,692</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71" w:name="xdx_40D_eus-gaap--AccruedLiabilitiesCurr"/>
            <w:bookmarkEnd w:id="371"/>
          </w:p>
        </w:tc>
      </w:tr>
      <w:tr>
        <w:trPr/>
        <w:tc>
          <w:tcPr>
            <w:tcW w:w="14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182,294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116,679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372" w:name="xdx_40B_eus-gaap--AccountsPayableOtherCu"/>
            <w:bookmarkEnd w:id="372"/>
          </w:p>
        </w:tc>
      </w:tr>
      <w:tr>
        <w:trPr/>
        <w:tc>
          <w:tcPr>
            <w:tcW w:w="14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349,288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68,242</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373" w:name="xdx_40D_eus-gaap--AccruedLiabilitiesAndO"/>
            <w:bookmarkEnd w:id="373"/>
          </w:p>
        </w:tc>
      </w:tr>
      <w:tr>
        <w:trPr/>
        <w:tc>
          <w:tcPr>
            <w:tcW w:w="149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1,583,930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1,282,161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374" w:name="xdx_8AE_zE5wwnGWFUw"/>
      <w:bookmarkEnd w:id="374"/>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an assessment of sales tax payable including any related interest and penalties and accrued these estimates on the financial statements. Among which, $</w:t>
      </w:r>
      <w:bookmarkStart w:id="375" w:name="xdx_90B_eus-gaap--IncomeTaxExaminationPe"/>
      <w:bookmarkEnd w:id="375"/>
      <w:r>
        <w:rPr>
          <w:rFonts w:ascii="Times New Roman;Times;Serif" w:hAnsi="Times New Roman;Times;Serif"/>
          <w:b w:val="false"/>
          <w:i w:val="false"/>
          <w:caps w:val="false"/>
          <w:smallCaps w:val="false"/>
          <w:sz w:val="20"/>
        </w:rPr>
        <w:t>78,947 and $</w:t>
      </w:r>
      <w:bookmarkStart w:id="376" w:name="xdx_90D_eus-gaap--IncomeTaxExaminationPe"/>
      <w:bookmarkEnd w:id="376"/>
      <w:r>
        <w:rPr>
          <w:rFonts w:ascii="Times New Roman;Times;Serif" w:hAnsi="Times New Roman;Times;Serif"/>
          <w:b w:val="false"/>
          <w:i w:val="false"/>
          <w:caps w:val="false"/>
          <w:smallCaps w:val="false"/>
          <w:sz w:val="20"/>
        </w:rPr>
        <w:t>68,197 are related interest and penalties as of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bonus expense is accrued whenever company’s financial or operational performance meets the required performance level. The Company has $</w:t>
      </w:r>
      <w:bookmarkStart w:id="377" w:name="xdx_90E_eus-gaap--AccruedBonusesCurrent_"/>
      <w:bookmarkEnd w:id="377"/>
      <w:r>
        <w:rPr>
          <w:rFonts w:ascii="Times New Roman;Times;Serif" w:hAnsi="Times New Roman;Times;Serif"/>
          <w:b w:val="false"/>
          <w:i w:val="false"/>
          <w:caps w:val="false"/>
          <w:smallCaps w:val="false"/>
          <w:sz w:val="20"/>
        </w:rPr>
        <w:t>468,209 and $</w:t>
      </w:r>
      <w:bookmarkStart w:id="378" w:name="xdx_901_eus-gaap--AccruedBonusesCurrent_"/>
      <w:bookmarkEnd w:id="378"/>
      <w:r>
        <w:rPr>
          <w:rFonts w:ascii="Times New Roman;Times;Serif" w:hAnsi="Times New Roman;Times;Serif"/>
          <w:b w:val="false"/>
          <w:i w:val="false"/>
          <w:caps w:val="false"/>
          <w:smallCaps w:val="false"/>
          <w:sz w:val="20"/>
        </w:rPr>
        <w:t>353,692 accrued for bonus as of December 31, 2022 and 2021, respectively.</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F-13</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79" w:name="xdx_80A_eus-gaap--DebtDisclosureTextBloc"/>
      <w:bookmarkEnd w:id="379"/>
      <w:r>
        <w:rPr>
          <w:rFonts w:ascii="Times New Roman;Times;Serif" w:hAnsi="Times New Roman;Times;Serif"/>
          <w:b/>
          <w:i w:val="false"/>
          <w:caps w:val="false"/>
          <w:smallCaps w:val="false"/>
          <w:sz w:val="20"/>
        </w:rPr>
        <w:t xml:space="preserve">NOTE 8 - </w:t>
      </w:r>
      <w:bookmarkStart w:id="380" w:name="xdx_82F_z6KXDhNwd469"/>
      <w:bookmarkEnd w:id="380"/>
      <w:r>
        <w:rPr>
          <w:rFonts w:ascii="Times New Roman;Times;Serif" w:hAnsi="Times New Roman;Times;Serif"/>
          <w:b/>
          <w:i w:val="false"/>
          <w:caps w:val="false"/>
          <w:smallCaps w:val="false"/>
          <w:sz w:val="20"/>
        </w:rPr>
        <w:t>Short-Term Debt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 of Credit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2019, the Company signed a line of credit agreement in the amount of $</w:t>
      </w:r>
      <w:bookmarkStart w:id="381" w:name="xdx_904_eus-gaap--LineOfCredit_iI_pp0p0_"/>
      <w:bookmarkEnd w:id="381"/>
      <w:r>
        <w:rPr>
          <w:rFonts w:ascii="Times New Roman;Times;Serif" w:hAnsi="Times New Roman;Times;Serif"/>
          <w:b w:val="false"/>
          <w:i w:val="false"/>
          <w:caps w:val="false"/>
          <w:smallCaps w:val="false"/>
          <w:sz w:val="20"/>
        </w:rPr>
        <w:t xml:space="preserve">785,000 with Bank of America. The line of credit matures on </w:t>
      </w:r>
      <w:bookmarkStart w:id="382" w:name="xdx_90C_eus-gaap--LineOfCreditFacilityEx"/>
      <w:bookmarkEnd w:id="382"/>
      <w:r>
        <w:rPr>
          <w:rFonts w:ascii="Times New Roman;Times;Serif" w:hAnsi="Times New Roman;Times;Serif"/>
          <w:b w:val="false"/>
          <w:i w:val="false"/>
          <w:caps w:val="false"/>
          <w:smallCaps w:val="false"/>
          <w:sz w:val="20"/>
        </w:rPr>
        <w:t xml:space="preserve">June 18, 2024 and bears interest at a rate of </w:t>
      </w:r>
      <w:bookmarkStart w:id="383" w:name="xdx_90F_eus-gaap--LineOfCreditFacilityIn"/>
      <w:bookmarkEnd w:id="383"/>
      <w:r>
        <w:rPr>
          <w:rFonts w:ascii="Times New Roman;Times;Serif" w:hAnsi="Times New Roman;Times;Serif"/>
          <w:b w:val="false"/>
          <w:i w:val="false"/>
          <w:caps w:val="false"/>
          <w:smallCaps w:val="false"/>
          <w:sz w:val="20"/>
        </w:rPr>
        <w:t>8.11% per annum.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outstanding balance under the Bank of America line of credit was $-</w:t>
      </w:r>
      <w:bookmarkStart w:id="384" w:name="xdx_90D_eus-gaap--LineOfCredit_iI_c20221"/>
      <w:bookmarkEnd w:id="384"/>
      <w:r>
        <w:rPr>
          <w:rFonts w:ascii="Times New Roman;Times;Serif" w:hAnsi="Times New Roman;Times;Serif"/>
          <w:b w:val="false"/>
          <w:i w:val="false"/>
          <w:caps w:val="false"/>
          <w:smallCaps w:val="false"/>
          <w:sz w:val="20"/>
        </w:rPr>
        <w:t>0- and $-</w:t>
      </w:r>
      <w:bookmarkStart w:id="385" w:name="xdx_905_eus-gaap--LineOfCredit_iI_c20211"/>
      <w:bookmarkEnd w:id="385"/>
      <w:r>
        <w:rPr>
          <w:rFonts w:ascii="Times New Roman;Times;Serif" w:hAnsi="Times New Roman;Times;Serif"/>
          <w:b w:val="false"/>
          <w:i w:val="false"/>
          <w:caps w:val="false"/>
          <w:smallCaps w:val="false"/>
          <w:sz w:val="20"/>
        </w:rPr>
        <w:t>0-, respectively. Also, the Company had accrued interest expense of $</w:t>
      </w:r>
      <w:bookmarkStart w:id="386" w:name="xdx_904_eus-gaap--InterestPayableCurrent"/>
      <w:bookmarkEnd w:id="386"/>
      <w:r>
        <w:rPr>
          <w:rFonts w:ascii="Times New Roman;Times;Serif" w:hAnsi="Times New Roman;Times;Serif"/>
          <w:b w:val="false"/>
          <w:i w:val="false"/>
          <w:caps w:val="false"/>
          <w:smallCaps w:val="false"/>
          <w:sz w:val="20"/>
        </w:rPr>
        <w:t xml:space="preserve">27,996 as of December 31, 2022 that due on </w:t>
      </w:r>
      <w:bookmarkStart w:id="387" w:name="xdx_90A_eus-gaap--LineOfCreditFacilityEx"/>
      <w:bookmarkEnd w:id="387"/>
      <w:r>
        <w:rPr>
          <w:rFonts w:ascii="Times New Roman;Times;Serif" w:hAnsi="Times New Roman;Times;Serif"/>
          <w:b w:val="false"/>
          <w:i w:val="false"/>
          <w:caps w:val="false"/>
          <w:smallCaps w:val="false"/>
          <w:sz w:val="20"/>
        </w:rPr>
        <w:t>June 18, 2024. Accrued interest expense has been recorded in the accrued expenses on the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signed a line of credit agreement in the amount of $</w:t>
      </w:r>
      <w:bookmarkStart w:id="388" w:name="xdx_909_eus-gaap--LineOfCredit_iI_c20220"/>
      <w:bookmarkEnd w:id="388"/>
      <w:r>
        <w:rPr>
          <w:rFonts w:ascii="Times New Roman;Times;Serif" w:hAnsi="Times New Roman;Times;Serif"/>
          <w:b w:val="false"/>
          <w:i w:val="false"/>
          <w:caps w:val="false"/>
          <w:smallCaps w:val="false"/>
          <w:sz w:val="20"/>
        </w:rPr>
        <w:t xml:space="preserve">6,940,063 with Taishin International Bank. The line of credit matures on </w:t>
      </w:r>
      <w:bookmarkStart w:id="389" w:name="xdx_905_eus-gaap--LineOfCreditFacilityEx"/>
      <w:bookmarkEnd w:id="389"/>
      <w:r>
        <w:rPr>
          <w:rFonts w:ascii="Times New Roman;Times;Serif" w:hAnsi="Times New Roman;Times;Serif"/>
          <w:b w:val="false"/>
          <w:i w:val="false"/>
          <w:caps w:val="false"/>
          <w:smallCaps w:val="false"/>
          <w:sz w:val="20"/>
        </w:rPr>
        <w:t xml:space="preserve">August 30, 2023 and bears interest at a rate of </w:t>
      </w:r>
      <w:bookmarkStart w:id="390" w:name="xdx_901_eus-gaap--LineOfCreditFacilityIn"/>
      <w:bookmarkEnd w:id="390"/>
      <w:r>
        <w:rPr>
          <w:rFonts w:ascii="Times New Roman;Times;Serif" w:hAnsi="Times New Roman;Times;Serif"/>
          <w:b w:val="false"/>
          <w:i w:val="false"/>
          <w:caps w:val="false"/>
          <w:smallCaps w:val="false"/>
          <w:sz w:val="20"/>
        </w:rPr>
        <w:t>2.6% per annum.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outstanding balance under the Taishin International Bank line of credit was $</w:t>
      </w:r>
      <w:bookmarkStart w:id="391" w:name="xdx_90B_eus-gaap--LineOfCredit_iI_c20221"/>
      <w:bookmarkEnd w:id="391"/>
      <w:r>
        <w:rPr>
          <w:rFonts w:ascii="Times New Roman;Times;Serif" w:hAnsi="Times New Roman;Times;Serif"/>
          <w:b w:val="false"/>
          <w:i w:val="false"/>
          <w:caps w:val="false"/>
          <w:smallCaps w:val="false"/>
          <w:sz w:val="20"/>
        </w:rPr>
        <w:t>652,316. Also, Flywheel has accrued interest expense of $</w:t>
      </w:r>
      <w:bookmarkStart w:id="392" w:name="xdx_907_eus-gaap--InterestPayableCurrent"/>
      <w:bookmarkEnd w:id="392"/>
      <w:r>
        <w:rPr>
          <w:rFonts w:ascii="Times New Roman;Times;Serif" w:hAnsi="Times New Roman;Times;Serif"/>
          <w:b w:val="false"/>
          <w:i w:val="false"/>
          <w:caps w:val="false"/>
          <w:smallCaps w:val="false"/>
          <w:sz w:val="20"/>
        </w:rPr>
        <w:t>1,440 as of December 31, 2022 that has not been paid. Accrued interest expense has been recorded in the accrued expenses on the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93" w:name="xdx_80C_eus-gaap--RelatedPartyTransactio"/>
      <w:bookmarkEnd w:id="393"/>
      <w:r>
        <w:rPr>
          <w:rFonts w:ascii="Times New Roman;Times;Serif" w:hAnsi="Times New Roman;Times;Serif"/>
          <w:b/>
          <w:i w:val="false"/>
          <w:caps w:val="false"/>
          <w:smallCaps w:val="false"/>
          <w:sz w:val="20"/>
        </w:rPr>
        <w:t xml:space="preserve">NOTE 9 - </w:t>
      </w:r>
      <w:bookmarkStart w:id="394" w:name="xdx_82A_zRxDLmuUNmUe"/>
      <w:bookmarkEnd w:id="394"/>
      <w:r>
        <w:rPr>
          <w:rFonts w:ascii="Times New Roman;Times;Serif" w:hAnsi="Times New Roman;Times;Serif"/>
          <w:b/>
          <w:i w:val="false"/>
          <w:caps w:val="false"/>
          <w:smallCaps w:val="false"/>
          <w:sz w:val="20"/>
        </w:rPr>
        <w:t>Related Party Balances and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receives loans and advances from its stockholders to fund its operations. Stockholder loans and advances are non-interest bearing and payable on demand. As of December 31, 2022 and 2021, the Company had $</w:t>
      </w:r>
      <w:bookmarkStart w:id="395" w:name="xdx_901_eus-gaap--DueToOfficersOrStockho"/>
      <w:bookmarkEnd w:id="395"/>
      <w:r>
        <w:rPr>
          <w:rFonts w:ascii="Times New Roman;Times;Serif" w:hAnsi="Times New Roman;Times;Serif"/>
          <w:b w:val="false"/>
          <w:i w:val="false"/>
          <w:caps w:val="false"/>
          <w:smallCaps w:val="false"/>
          <w:sz w:val="20"/>
        </w:rPr>
        <w:t>4,329,460 and $</w:t>
      </w:r>
      <w:bookmarkStart w:id="396" w:name="xdx_90D_eus-gaap--DueToOfficersOrStockho"/>
      <w:bookmarkEnd w:id="396"/>
      <w:r>
        <w:rPr>
          <w:rFonts w:ascii="Times New Roman;Times;Serif" w:hAnsi="Times New Roman;Times;Serif"/>
          <w:b w:val="false"/>
          <w:i w:val="false"/>
          <w:caps w:val="false"/>
          <w:smallCaps w:val="false"/>
          <w:sz w:val="20"/>
        </w:rPr>
        <w:t>5,214,794 due to related parties (Sam Lai and Maggie Yu, Mr. Lai is the Company’s Chairman of the Board, Chief Executive Officer and Interim Chief Financial Officer. Ms. Yu is the Company’s Senior Vice President and a member of the Company’s Board of Directors),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2020 the Company and the stockholders (Sam Lai and Maggie Yu) entered into a loan agreement of $</w:t>
      </w:r>
      <w:bookmarkStart w:id="397" w:name="xdx_905_eus-gaap--LoansPayable_iI_c20201"/>
      <w:bookmarkEnd w:id="397"/>
      <w:r>
        <w:rPr>
          <w:rFonts w:ascii="Times New Roman;Times;Serif" w:hAnsi="Times New Roman;Times;Serif"/>
          <w:b w:val="false"/>
          <w:i w:val="false"/>
          <w:caps w:val="false"/>
          <w:smallCaps w:val="false"/>
          <w:sz w:val="20"/>
        </w:rPr>
        <w:t>1,041,353 and later modified on September 16, 2021, converted it into a interest-bearing (</w:t>
      </w:r>
      <w:bookmarkStart w:id="398" w:name="xdx_90E_eus-gaap--DebtInstrumentInterest"/>
      <w:bookmarkEnd w:id="398"/>
      <w:r>
        <w:rPr>
          <w:rFonts w:ascii="Times New Roman;Times;Serif" w:hAnsi="Times New Roman;Times;Serif"/>
          <w:b w:val="false"/>
          <w:i w:val="false"/>
          <w:caps w:val="false"/>
          <w:smallCaps w:val="false"/>
          <w:sz w:val="20"/>
        </w:rPr>
        <w:t>2%) loan with a repayment date of December 31, 2021. On January 18, 2022, the Company repaid the loan principal in full, while the balance of accrued interest to be paid for this loan was approximately $</w:t>
      </w:r>
      <w:bookmarkStart w:id="399" w:name="xdx_90D_eus-gaap--InterestPayableCurrent"/>
      <w:bookmarkEnd w:id="399"/>
      <w:r>
        <w:rPr>
          <w:rFonts w:ascii="Times New Roman;Times;Serif" w:hAnsi="Times New Roman;Times;Serif"/>
          <w:b w:val="false"/>
          <w:i w:val="false"/>
          <w:caps w:val="false"/>
          <w:smallCaps w:val="false"/>
          <w:sz w:val="20"/>
        </w:rPr>
        <w:t>39,039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had $</w:t>
      </w:r>
      <w:bookmarkStart w:id="400" w:name="xdx_900_eus-gaap--LoansPayable_iI_c20221"/>
      <w:bookmarkEnd w:id="400"/>
      <w:r>
        <w:rPr>
          <w:rFonts w:ascii="Times New Roman;Times;Serif" w:hAnsi="Times New Roman;Times;Serif"/>
          <w:b w:val="false"/>
          <w:i w:val="false"/>
          <w:caps w:val="false"/>
          <w:smallCaps w:val="false"/>
          <w:sz w:val="20"/>
        </w:rPr>
        <w:t xml:space="preserve">4,170,418 in loan from related parties. The loan is memorialized in a Loan Agreement dated October 15, 2021. The annual interest rate is </w:t>
      </w:r>
      <w:bookmarkStart w:id="401" w:name="xdx_907_eus-gaap--DebtInstrumentInterest"/>
      <w:bookmarkEnd w:id="401"/>
      <w:r>
        <w:rPr>
          <w:rFonts w:ascii="Times New Roman;Times;Serif" w:hAnsi="Times New Roman;Times;Serif"/>
          <w:b w:val="false"/>
          <w:i w:val="false"/>
          <w:caps w:val="false"/>
          <w:smallCaps w:val="false"/>
          <w:sz w:val="20"/>
        </w:rPr>
        <w:t>2% and the repayment date is December 31, 2022. The Company had accrued the interest of $</w:t>
      </w:r>
      <w:bookmarkStart w:id="402" w:name="xdx_908_eus-gaap--InterestPayableCurrent"/>
      <w:bookmarkEnd w:id="402"/>
      <w:r>
        <w:rPr>
          <w:rFonts w:ascii="Times New Roman;Times;Serif" w:hAnsi="Times New Roman;Times;Serif"/>
          <w:b w:val="false"/>
          <w:i w:val="false"/>
          <w:caps w:val="false"/>
          <w:smallCaps w:val="false"/>
          <w:sz w:val="20"/>
        </w:rPr>
        <w:t>120,003 on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28, 2022, </w:t>
      </w:r>
      <w:bookmarkStart w:id="403" w:name="xdx_90E_eus-gaap--DebtInstrumentMaturity"/>
      <w:bookmarkEnd w:id="403"/>
      <w:r>
        <w:rPr>
          <w:rFonts w:ascii="Times New Roman;Times;Serif" w:hAnsi="Times New Roman;Times;Serif"/>
          <w:b w:val="false"/>
          <w:i w:val="false"/>
          <w:caps w:val="false"/>
          <w:smallCaps w:val="false"/>
          <w:sz w:val="20"/>
        </w:rPr>
        <w:t xml:space="preserve">the Company and the stockholders agreed to extend the tenor of the loan for another 2 years, with the Maturity Date as December 31, 2024. The annual interest rate is </w:t>
      </w:r>
      <w:bookmarkStart w:id="404" w:name="xdx_903_eus-gaap--DebtInstrumentInterest"/>
      <w:bookmarkEnd w:id="404"/>
      <w:r>
        <w:rPr>
          <w:rFonts w:ascii="Times New Roman;Times;Serif" w:hAnsi="Times New Roman;Times;Serif"/>
          <w:b w:val="false"/>
          <w:i w:val="false"/>
          <w:caps w:val="false"/>
          <w:smallCaps w:val="false"/>
          <w:sz w:val="20"/>
        </w:rPr>
        <w:t>5.5%.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the Company had payments to related parties $</w:t>
      </w:r>
      <w:bookmarkStart w:id="405" w:name="xdx_905_eus-gaap--ProceedsFromRepayments"/>
      <w:bookmarkEnd w:id="405"/>
      <w:r>
        <w:rPr>
          <w:rFonts w:ascii="Times New Roman;Times;Serif" w:hAnsi="Times New Roman;Times;Serif"/>
          <w:b w:val="false"/>
          <w:i w:val="false"/>
          <w:caps w:val="false"/>
          <w:smallCaps w:val="false"/>
          <w:sz w:val="20"/>
        </w:rPr>
        <w:t>138,854 and repayments from related parties $</w:t>
      </w:r>
      <w:bookmarkStart w:id="406" w:name="xdx_903_eus-gaap--RepaymentsOfRelatedPar"/>
      <w:bookmarkEnd w:id="406"/>
      <w:r>
        <w:rPr>
          <w:rFonts w:ascii="Times New Roman;Times;Serif" w:hAnsi="Times New Roman;Times;Serif"/>
          <w:b w:val="false"/>
          <w:i w:val="false"/>
          <w:caps w:val="false"/>
          <w:smallCaps w:val="false"/>
          <w:sz w:val="20"/>
        </w:rPr>
        <w:t>1,024,188,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07" w:name="xdx_806_eus-gaap--LesseeOperatingLeasesT"/>
      <w:bookmarkEnd w:id="407"/>
      <w:r>
        <w:rPr>
          <w:rFonts w:ascii="Times New Roman;Times;Serif" w:hAnsi="Times New Roman;Times;Serif"/>
          <w:b/>
          <w:i w:val="false"/>
          <w:caps w:val="false"/>
          <w:smallCaps w:val="false"/>
          <w:sz w:val="20"/>
        </w:rPr>
        <w:t xml:space="preserve">NOTE 10 - </w:t>
      </w:r>
      <w:bookmarkStart w:id="408" w:name="xdx_824_zb3y32jXVL7j"/>
      <w:bookmarkEnd w:id="408"/>
      <w:r>
        <w:rPr>
          <w:rFonts w:ascii="Times New Roman;Times;Serif" w:hAnsi="Times New Roman;Times;Serif"/>
          <w:b/>
          <w:i w:val="false"/>
          <w:caps w:val="false"/>
          <w:smallCaps w:val="false"/>
          <w:sz w:val="20"/>
        </w:rPr>
        <w:t>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w:t>
      </w:r>
      <w:bookmarkStart w:id="409" w:name="xdx_90E_eus-gaap--NumberOfOperatingSegme"/>
      <w:bookmarkEnd w:id="409"/>
      <w:r>
        <w:rPr>
          <w:rFonts w:ascii="Times New Roman;Times;Serif" w:hAnsi="Times New Roman;Times;Serif"/>
          <w:b w:val="false"/>
          <w:i w:val="false"/>
          <w:caps w:val="false"/>
          <w:smallCaps w:val="false"/>
          <w:sz w:val="20"/>
        </w:rPr>
        <w:t>three operating leases (Flywheel’s office leases in Taiwan) as of December 31, 2022. The leased assets in Flywheel are presented as right-of-use assets.</w:t>
      </w:r>
    </w:p>
    <w:p>
      <w:pPr>
        <w:pStyle w:val="TextBody"/>
        <w:spacing w:before="0" w:after="0"/>
        <w:ind w:left="0" w:right="0" w:hanging="0"/>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F-14</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reconciles the fixed component of the undiscounted cash flows for each of the first five years and the total remaining years to the operating lease liabilities recorded in the statements of financial position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10" w:name="xdx_8BF_z90oeoTFRqoa"/>
      <w:bookmarkStart w:id="411" w:name="xdx_891_eus-gaap--LeaseCostTableTextBloc"/>
      <w:bookmarkEnd w:id="410"/>
      <w:bookmarkEnd w:id="411"/>
      <w:r>
        <w:rPr>
          <w:rFonts w:ascii="Times New Roman;Times;Serif" w:hAnsi="Times New Roman;Times;Serif"/>
          <w:b w:val="false"/>
          <w:i w:val="false"/>
          <w:caps w:val="false"/>
          <w:smallCaps w:val="false"/>
          <w:sz w:val="20"/>
        </w:rPr>
        <w:t>Schedule of Operating Leases Cost</w:t>
      </w:r>
    </w:p>
    <w:tbl>
      <w:tblPr>
        <w:tblW w:w="9272" w:type="dxa"/>
        <w:jc w:val="left"/>
        <w:tblInd w:w="0" w:type="dxa"/>
        <w:tblCellMar>
          <w:top w:w="0" w:type="dxa"/>
          <w:left w:w="0" w:type="dxa"/>
          <w:bottom w:w="0" w:type="dxa"/>
          <w:right w:w="0" w:type="dxa"/>
        </w:tblCellMar>
      </w:tblPr>
      <w:tblGrid>
        <w:gridCol w:w="5060"/>
        <w:gridCol w:w="60"/>
        <w:gridCol w:w="201"/>
        <w:gridCol w:w="1123"/>
        <w:gridCol w:w="185"/>
        <w:gridCol w:w="60"/>
        <w:gridCol w:w="163"/>
        <w:gridCol w:w="906"/>
        <w:gridCol w:w="185"/>
        <w:gridCol w:w="60"/>
        <w:gridCol w:w="163"/>
        <w:gridCol w:w="906"/>
        <w:gridCol w:w="200"/>
      </w:tblGrid>
      <w:tr>
        <w:trPr/>
        <w:tc>
          <w:tcPr>
            <w:tcW w:w="50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2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Flywheel</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0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Flywheel</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0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Flywheel</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50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24"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2022 to</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06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2022</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06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2022</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50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lease term</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2023</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May 2024</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July 2024</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0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6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69"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0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recognition of right-of-use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2" w:name="xdx_98B_eus-gaap--OperatingLeaseRightOfU"/>
            <w:bookmarkEnd w:id="412"/>
          </w:p>
        </w:tc>
        <w:tc>
          <w:tcPr>
            <w:tcW w:w="11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488,262</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3" w:name="xdx_98B_eus-gaap--OperatingLeaseRightOfU"/>
            <w:bookmarkEnd w:id="413"/>
          </w:p>
        </w:tc>
        <w:tc>
          <w:tcPr>
            <w:tcW w:w="9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105,632</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4" w:name="xdx_983_eus-gaap--OperatingLeaseRightOfU"/>
            <w:bookmarkEnd w:id="414"/>
          </w:p>
        </w:tc>
        <w:tc>
          <w:tcPr>
            <w:tcW w:w="9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147,547</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at December 31, 2022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15" w:name="xdx_90F_eus-gaap--OperatingLeaseWeighted"/>
            <w:bookmarkEnd w:id="415"/>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16" w:name="xdx_90E_eus-gaap--OperatingLeaseWeighted"/>
            <w:bookmarkEnd w:id="416"/>
            <w:r>
              <w:rPr>
                <w:rFonts w:ascii="Times New Roman;Times;Serif" w:hAnsi="Times New Roman;Times;Serif"/>
                <w:b w:val="false"/>
                <w:i w:val="false"/>
                <w:caps w:val="false"/>
                <w:smallCaps w:val="false"/>
                <w:sz w:val="20"/>
              </w:rPr>
              <w:t>1.42</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17" w:name="xdx_905_eus-gaap--OperatingLeaseWeighted"/>
            <w:bookmarkEnd w:id="417"/>
            <w:r>
              <w:rPr>
                <w:rFonts w:ascii="Times New Roman;Times;Serif" w:hAnsi="Times New Roman;Times;Serif"/>
                <w:b w:val="false"/>
                <w:i w:val="false"/>
                <w:caps w:val="false"/>
                <w:smallCaps w:val="false"/>
                <w:sz w:val="20"/>
              </w:rPr>
              <w:t>1.58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 at December 31,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18" w:name="xdx_902_eus-gaap--OperatingLeaseWeighted"/>
            <w:bookmarkEnd w:id="418"/>
            <w:r>
              <w:rPr>
                <w:rFonts w:ascii="Times New Roman;Times;Serif" w:hAnsi="Times New Roman;Times;Serif"/>
                <w:b w:val="false"/>
                <w:i w:val="false"/>
                <w:caps w:val="false"/>
                <w:smallCaps w:val="false"/>
                <w:sz w:val="20"/>
              </w:rPr>
              <w:t>8.11</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19" w:name="xdx_90E_eus-gaap--OperatingLeaseWeighted"/>
            <w:bookmarkEnd w:id="419"/>
            <w:r>
              <w:rPr>
                <w:rFonts w:ascii="Times New Roman;Times;Serif" w:hAnsi="Times New Roman;Times;Serif"/>
                <w:b w:val="false"/>
                <w:i w:val="false"/>
                <w:caps w:val="false"/>
                <w:smallCaps w:val="false"/>
                <w:sz w:val="20"/>
              </w:rPr>
              <w:t>8.11</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bookmarkStart w:id="420" w:name="xdx_90A_eus-gaap--OperatingLeaseWeighted"/>
            <w:bookmarkEnd w:id="420"/>
            <w:r>
              <w:rPr>
                <w:rFonts w:ascii="Times New Roman;Times;Serif" w:hAnsi="Times New Roman;Times;Serif"/>
                <w:b w:val="false"/>
                <w:i w:val="false"/>
                <w:caps w:val="false"/>
                <w:smallCaps w:val="false"/>
                <w:sz w:val="20"/>
              </w:rPr>
              <w:t>2.50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bookmarkStart w:id="421" w:name="xdx_8AD_znfhsDRaaaP1"/>
      <w:bookmarkEnd w:id="421"/>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liabilities-current as of December 31, 2022 and 2021 were $</w:t>
      </w:r>
      <w:bookmarkStart w:id="422" w:name="xdx_900_eus-gaap--OperatingLeaseLiabilit"/>
      <w:bookmarkEnd w:id="422"/>
      <w:r>
        <w:rPr>
          <w:rFonts w:ascii="Times New Roman;Times;Serif" w:hAnsi="Times New Roman;Times;Serif"/>
          <w:b w:val="false"/>
          <w:i w:val="false"/>
          <w:caps w:val="false"/>
          <w:smallCaps w:val="false"/>
          <w:sz w:val="20"/>
        </w:rPr>
        <w:t>385,216 and $</w:t>
      </w:r>
      <w:bookmarkStart w:id="423" w:name="xdx_904_eus-gaap--OperatingLeaseLiabilit"/>
      <w:bookmarkEnd w:id="423"/>
      <w:r>
        <w:rPr>
          <w:rFonts w:ascii="Times New Roman;Times;Serif" w:hAnsi="Times New Roman;Times;Serif"/>
          <w:b w:val="false"/>
          <w:i w:val="false"/>
          <w:caps w:val="false"/>
          <w:smallCaps w:val="false"/>
          <w:sz w:val="20"/>
        </w:rPr>
        <w:t>-, respectively. Operating lease liabilities-non-current as of December 31, 2022 and 2021 were $</w:t>
      </w:r>
      <w:bookmarkStart w:id="424" w:name="xdx_907_eus-gaap--OperatingLeaseLiabilit"/>
      <w:bookmarkEnd w:id="424"/>
      <w:r>
        <w:rPr>
          <w:rFonts w:ascii="Times New Roman;Times;Serif" w:hAnsi="Times New Roman;Times;Serif"/>
          <w:b w:val="false"/>
          <w:i w:val="false"/>
          <w:caps w:val="false"/>
          <w:smallCaps w:val="false"/>
          <w:sz w:val="20"/>
        </w:rPr>
        <w:t>64,945 and $</w:t>
      </w:r>
      <w:bookmarkStart w:id="425" w:name="xdx_90C_eus-gaap--OperatingLeaseLiabilit"/>
      <w:bookmarkEnd w:id="425"/>
      <w:r>
        <w:rPr>
          <w:rFonts w:ascii="Times New Roman;Times;Serif" w:hAnsi="Times New Roman;Times;Serif"/>
          <w:b w:val="false"/>
          <w:i w:val="false"/>
          <w:caps w:val="false"/>
          <w:smallCaps w:val="false"/>
          <w:sz w:val="20"/>
        </w:rPr>
        <w:t>-, respectively. The right-of-use assets balance as of December 31, 2022 and 2021, were $</w:t>
      </w:r>
      <w:bookmarkStart w:id="426" w:name="xdx_90B_eus-gaap--OperatingLeaseRightOfU"/>
      <w:bookmarkEnd w:id="426"/>
      <w:r>
        <w:rPr>
          <w:rFonts w:ascii="Times New Roman;Times;Serif" w:hAnsi="Times New Roman;Times;Serif"/>
          <w:b w:val="false"/>
          <w:i w:val="false"/>
          <w:caps w:val="false"/>
          <w:smallCaps w:val="false"/>
          <w:sz w:val="20"/>
        </w:rPr>
        <w:t>450,721 and $</w:t>
      </w:r>
      <w:bookmarkStart w:id="427" w:name="xdx_90B_eus-gaap--OperatingLeaseRightOfU"/>
      <w:bookmarkEnd w:id="427"/>
      <w:r>
        <w:rPr>
          <w:rFonts w:ascii="Times New Roman;Times;Serif" w:hAnsi="Times New Roman;Times;Serif"/>
          <w:b w:val="false"/>
          <w:i w:val="false"/>
          <w:caps w:val="false"/>
          <w:smallCaps w:val="false"/>
          <w:sz w:val="20"/>
        </w:rPr>
        <w:t>30,111,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28" w:name="xdx_899_eus-gaap--LesseeOperatingLeaseLi"/>
      <w:bookmarkEnd w:id="428"/>
      <w:r>
        <w:rPr>
          <w:rFonts w:ascii="Times New Roman;Times;Serif" w:hAnsi="Times New Roman;Times;Serif"/>
          <w:b w:val="false"/>
          <w:i w:val="false"/>
          <w:caps w:val="false"/>
          <w:smallCaps w:val="false"/>
          <w:sz w:val="20"/>
        </w:rPr>
        <w:t>The future minimum lease payment schedule for all operating leases as of December 31, 2022, is also disclosed as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29" w:name="xdx_8B8_zyOPtzJ85zDj"/>
      <w:bookmarkEnd w:id="429"/>
      <w:r>
        <w:rPr>
          <w:rFonts w:ascii="Times New Roman;Times;Serif" w:hAnsi="Times New Roman;Times;Serif"/>
          <w:b w:val="false"/>
          <w:i w:val="false"/>
          <w:caps w:val="false"/>
          <w:smallCaps w:val="false"/>
          <w:sz w:val="20"/>
        </w:rPr>
        <w:t>Schedule of Operating Lease Liabilities </w:t>
      </w:r>
    </w:p>
    <w:tbl>
      <w:tblPr>
        <w:tblW w:w="5210" w:type="dxa"/>
        <w:jc w:val="left"/>
        <w:tblInd w:w="0" w:type="dxa"/>
        <w:tblCellMar>
          <w:top w:w="0" w:type="dxa"/>
          <w:left w:w="0" w:type="dxa"/>
          <w:bottom w:w="28" w:type="dxa"/>
          <w:right w:w="0" w:type="dxa"/>
        </w:tblCellMar>
      </w:tblPr>
      <w:tblGrid>
        <w:gridCol w:w="4175"/>
        <w:gridCol w:w="60"/>
        <w:gridCol w:w="125"/>
        <w:gridCol w:w="755"/>
        <w:gridCol w:w="95"/>
      </w:tblGrid>
      <w:tr>
        <w:trPr/>
        <w:tc>
          <w:tcPr>
            <w:tcW w:w="4175" w:type="dxa"/>
            <w:tcBorders>
              <w:bottom w:val="single" w:sz="12" w:space="0" w:color="000000"/>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bookmarkStart w:id="430" w:name="xdx_493_20221231_zQkhZKUlHFv7"/>
            <w:bookmarkEnd w:id="430"/>
          </w:p>
        </w:tc>
        <w:tc>
          <w:tcPr>
            <w:tcW w:w="88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1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Ending December 31,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17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bookmarkStart w:id="431" w:name="xdx_402_eus-gaap--LesseeOperatingLeaseLi"/>
            <w:bookmarkEnd w:id="431"/>
          </w:p>
        </w:tc>
      </w:tr>
      <w:tr>
        <w:trPr/>
        <w:tc>
          <w:tcPr>
            <w:tcW w:w="4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399,962</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bookmarkStart w:id="432" w:name="xdx_401_eus-gaap--LesseeOperatingLeaseLi"/>
            <w:bookmarkEnd w:id="432"/>
          </w:p>
        </w:tc>
      </w:tr>
      <w:tr>
        <w:trPr/>
        <w:tc>
          <w:tcPr>
            <w:tcW w:w="417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68,648</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bookmarkStart w:id="433" w:name="xdx_40F_eus-gaap--LesseeOperatingLeaseLi"/>
            <w:bookmarkEnd w:id="433"/>
          </w:p>
        </w:tc>
      </w:tr>
      <w:tr>
        <w:trPr/>
        <w:tc>
          <w:tcPr>
            <w:tcW w:w="4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bookmarkStart w:id="434" w:name="xdx_405_ecustom--LesseeOperatingLeaseLia"/>
            <w:bookmarkEnd w:id="434"/>
          </w:p>
        </w:tc>
      </w:tr>
      <w:tr>
        <w:trPr/>
        <w:tc>
          <w:tcPr>
            <w:tcW w:w="417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and thereafter</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bookmarkStart w:id="435" w:name="xdx_400_eus-gaap--LesseeOperatingLeaseLi"/>
            <w:bookmarkEnd w:id="435"/>
          </w:p>
        </w:tc>
      </w:tr>
      <w:tr>
        <w:trPr/>
        <w:tc>
          <w:tcPr>
            <w:tcW w:w="4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minimum lease payments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468,610</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bookmarkStart w:id="436" w:name="xdx_40F_eus-gaap--LesseeOperatingLeaseLi"/>
            <w:bookmarkEnd w:id="436"/>
          </w:p>
        </w:tc>
      </w:tr>
      <w:tr>
        <w:trPr/>
        <w:tc>
          <w:tcPr>
            <w:tcW w:w="417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effect of discounting</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(18,449</w:t>
            </w:r>
          </w:p>
        </w:tc>
        <w:tc>
          <w:tcPr>
            <w:tcW w:w="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7" w:name="xdx_40D_eus-gaap--OperatingLeaseLiabilit"/>
            <w:bookmarkEnd w:id="437"/>
          </w:p>
        </w:tc>
      </w:tr>
      <w:tr>
        <w:trPr/>
        <w:tc>
          <w:tcPr>
            <w:tcW w:w="4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the future minimum lease payment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450,161</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bookmarkStart w:id="438" w:name="xdx_409_eus-gaap--OperatingLeaseLiabilit"/>
            <w:bookmarkEnd w:id="438"/>
          </w:p>
        </w:tc>
      </w:tr>
      <w:tr>
        <w:trPr/>
        <w:tc>
          <w:tcPr>
            <w:tcW w:w="417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operating lease liabilities-current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(385,216</w:t>
            </w:r>
          </w:p>
        </w:tc>
        <w:tc>
          <w:tcPr>
            <w:tcW w:w="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9" w:name="xdx_403_eus-gaap--OperatingLeaseLiabilit"/>
            <w:bookmarkEnd w:id="439"/>
          </w:p>
        </w:tc>
      </w:tr>
      <w:tr>
        <w:trPr/>
        <w:tc>
          <w:tcPr>
            <w:tcW w:w="4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liabilities-non-current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64,945</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rPr/>
      </w:pPr>
      <w:bookmarkStart w:id="440" w:name="xdx_8A1_zG0Y85oxkF0a"/>
      <w:bookmarkEnd w:id="440"/>
      <w:r>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and 2021, the Company had $</w:t>
      </w:r>
      <w:bookmarkStart w:id="441" w:name="xdx_90B_ecustom--NoncashLeaseExpenses_c2"/>
      <w:bookmarkEnd w:id="441"/>
      <w:r>
        <w:rPr>
          <w:rFonts w:ascii="Times New Roman;Times;Serif" w:hAnsi="Times New Roman;Times;Serif"/>
          <w:b w:val="false"/>
          <w:i w:val="false"/>
          <w:caps w:val="false"/>
          <w:smallCaps w:val="false"/>
          <w:sz w:val="20"/>
        </w:rPr>
        <w:t>310,161 and $</w:t>
      </w:r>
      <w:bookmarkStart w:id="442" w:name="xdx_904_ecustom--NoncashLeaseExpenses_c2"/>
      <w:bookmarkEnd w:id="442"/>
      <w:r>
        <w:rPr>
          <w:rFonts w:ascii="Times New Roman;Times;Serif" w:hAnsi="Times New Roman;Times;Serif"/>
          <w:b w:val="false"/>
          <w:i w:val="false"/>
          <w:caps w:val="false"/>
          <w:smallCaps w:val="false"/>
          <w:sz w:val="20"/>
        </w:rPr>
        <w:t>73,343, for lease expenses,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43" w:name="xdx_807_eus-gaap--IncomeTaxDisclosureTex"/>
      <w:bookmarkEnd w:id="443"/>
      <w:r>
        <w:rPr>
          <w:rFonts w:ascii="Times New Roman;Times;Serif" w:hAnsi="Times New Roman;Times;Serif"/>
          <w:b/>
          <w:i w:val="false"/>
          <w:caps w:val="false"/>
          <w:smallCaps w:val="false"/>
          <w:sz w:val="20"/>
        </w:rPr>
        <w:t xml:space="preserve">NOTE 11 - </w:t>
      </w:r>
      <w:bookmarkStart w:id="444" w:name="xdx_825_zSl7LGhNvrrh"/>
      <w:bookmarkEnd w:id="444"/>
      <w:r>
        <w:rPr>
          <w:rFonts w:ascii="Times New Roman;Times;Serif" w:hAnsi="Times New Roman;Times;Serif"/>
          <w:b/>
          <w:i w:val="false"/>
          <w:caps w:val="false"/>
          <w:smallCaps w:val="false"/>
          <w:sz w:val="20"/>
        </w:rPr>
        <w:t>Income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45" w:name="xdx_89C_eus-gaap--ScheduleOfEffectiveInc"/>
      <w:bookmarkEnd w:id="445"/>
      <w:r>
        <w:rPr>
          <w:rFonts w:ascii="Times New Roman;Times;Serif" w:hAnsi="Times New Roman;Times;Serif"/>
          <w:b w:val="false"/>
          <w:i w:val="false"/>
          <w:caps w:val="false"/>
          <w:smallCaps w:val="false"/>
          <w:sz w:val="20"/>
        </w:rPr>
        <w:t>The components of income taxes provision (benefit) are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46" w:name="xdx_8BF_zT25MpPYjZgk"/>
      <w:bookmarkEnd w:id="446"/>
      <w:r>
        <w:rPr>
          <w:rFonts w:ascii="Times New Roman;Times;Serif" w:hAnsi="Times New Roman;Times;Serif"/>
          <w:b w:val="false"/>
          <w:i w:val="false"/>
          <w:caps w:val="false"/>
          <w:smallCaps w:val="false"/>
          <w:sz w:val="20"/>
        </w:rPr>
        <w:t>Schedule of Effective Income Tax Rate Reconciliation</w:t>
      </w:r>
    </w:p>
    <w:tbl>
      <w:tblPr>
        <w:tblW w:w="4598" w:type="dxa"/>
        <w:jc w:val="left"/>
        <w:tblInd w:w="0" w:type="dxa"/>
        <w:tblCellMar>
          <w:top w:w="0" w:type="dxa"/>
          <w:left w:w="0" w:type="dxa"/>
          <w:bottom w:w="0" w:type="dxa"/>
          <w:right w:w="0" w:type="dxa"/>
        </w:tblCellMar>
      </w:tblPr>
      <w:tblGrid>
        <w:gridCol w:w="1790"/>
        <w:gridCol w:w="60"/>
        <w:gridCol w:w="128"/>
        <w:gridCol w:w="1046"/>
        <w:gridCol w:w="185"/>
        <w:gridCol w:w="60"/>
        <w:gridCol w:w="123"/>
        <w:gridCol w:w="1006"/>
        <w:gridCol w:w="200"/>
      </w:tblGrid>
      <w:tr>
        <w:trPr/>
        <w:tc>
          <w:tcPr>
            <w:tcW w:w="179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47" w:name="xdx_49D_20220101__20221231_zdpQnRgiLbIh"/>
            <w:bookmarkEnd w:id="447"/>
          </w:p>
        </w:tc>
        <w:tc>
          <w:tcPr>
            <w:tcW w:w="117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48" w:name="xdx_498_20210101__20211231_zFo0XbcVI9l4"/>
            <w:bookmarkEnd w:id="448"/>
          </w:p>
        </w:tc>
        <w:tc>
          <w:tcPr>
            <w:tcW w:w="1129"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179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7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bookmarkStart w:id="449" w:name="xdx_409_eus-gaap--EffectiveIncomeTaxRate"/>
            <w:bookmarkEnd w:id="449"/>
          </w:p>
        </w:tc>
      </w:tr>
      <w:tr>
        <w:trPr/>
        <w:tc>
          <w:tcPr>
            <w:tcW w:w="17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0" w:name="xdx_407_eus-gaap--EffectiveIncomeTaxRate"/>
            <w:bookmarkEnd w:id="450"/>
          </w:p>
        </w:tc>
      </w:tr>
      <w:tr>
        <w:trPr/>
        <w:tc>
          <w:tcPr>
            <w:tcW w:w="17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 state tax rate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6"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1" w:name="xdx_404_eus-gaap--EffectiveIncomeTaxRate"/>
            <w:bookmarkEnd w:id="451"/>
          </w:p>
        </w:tc>
      </w:tr>
      <w:tr>
        <w:trPr/>
        <w:tc>
          <w:tcPr>
            <w:tcW w:w="17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bookmarkStart w:id="452" w:name="xdx_8A8_zW7BJpt57Oji"/>
      <w:bookmarkEnd w:id="452"/>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F-15</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53" w:name="xdx_8B0_zJ9CE2Q7fgs4"/>
      <w:bookmarkEnd w:id="453"/>
      <w:r>
        <w:rPr>
          <w:rFonts w:ascii="Times New Roman;Times;Serif" w:hAnsi="Times New Roman;Times;Serif"/>
          <w:b w:val="false"/>
          <w:i w:val="false"/>
          <w:caps w:val="false"/>
          <w:smallCaps w:val="false"/>
          <w:sz w:val="20"/>
        </w:rPr>
        <w:t>Schedule of Components of Income Tax Provision (Benefit)</w:t>
      </w:r>
    </w:p>
    <w:tbl>
      <w:tblPr>
        <w:tblW w:w="5862" w:type="dxa"/>
        <w:jc w:val="left"/>
        <w:tblInd w:w="0" w:type="dxa"/>
        <w:tblCellMar>
          <w:top w:w="0" w:type="dxa"/>
          <w:left w:w="0" w:type="dxa"/>
          <w:bottom w:w="0" w:type="dxa"/>
          <w:right w:w="0" w:type="dxa"/>
        </w:tblCellMar>
      </w:tblPr>
      <w:tblGrid>
        <w:gridCol w:w="2330"/>
        <w:gridCol w:w="60"/>
        <w:gridCol w:w="95"/>
        <w:gridCol w:w="944"/>
        <w:gridCol w:w="60"/>
        <w:gridCol w:w="60"/>
        <w:gridCol w:w="76"/>
        <w:gridCol w:w="963"/>
        <w:gridCol w:w="80"/>
        <w:gridCol w:w="60"/>
        <w:gridCol w:w="76"/>
        <w:gridCol w:w="963"/>
        <w:gridCol w:w="95"/>
      </w:tblGrid>
      <w:tr>
        <w:trPr/>
        <w:tc>
          <w:tcPr>
            <w:tcW w:w="23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Expense Summary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454" w:name="xdx_986_eus-gaap--CurrentFederalTaxExpen"/>
            <w:bookmarkEnd w:id="454"/>
          </w:p>
        </w:tc>
        <w:tc>
          <w:tcPr>
            <w:tcW w:w="9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6" w:type="dxa"/>
            <w:tcBorders/>
            <w:shd w:fill="CCEEFF" w:val="clear"/>
            <w:vAlign w:val="center"/>
          </w:tcPr>
          <w:p>
            <w:pPr>
              <w:pStyle w:val="TableContents"/>
              <w:spacing w:before="0" w:after="283"/>
              <w:jc w:val="left"/>
              <w:rPr>
                <w:caps w:val="false"/>
                <w:smallCaps w:val="false"/>
              </w:rPr>
            </w:pPr>
            <w:r>
              <w:rPr>
                <w:caps w:val="false"/>
                <w:smallCaps w:val="false"/>
              </w:rPr>
              <w:t> </w:t>
            </w:r>
            <w:bookmarkStart w:id="455" w:name="xdx_981_eus-gaap--DeferredFederalIncomeT"/>
            <w:bookmarkEnd w:id="455"/>
          </w:p>
        </w:tc>
        <w:tc>
          <w:tcPr>
            <w:tcW w:w="9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(426,457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6" w:type="dxa"/>
            <w:tcBorders/>
            <w:shd w:fill="CCEEFF" w:val="clear"/>
            <w:vAlign w:val="center"/>
          </w:tcPr>
          <w:p>
            <w:pPr>
              <w:pStyle w:val="TableContents"/>
              <w:spacing w:before="0" w:after="283"/>
              <w:jc w:val="left"/>
              <w:rPr>
                <w:caps w:val="false"/>
                <w:smallCaps w:val="false"/>
              </w:rPr>
            </w:pPr>
            <w:r>
              <w:rPr>
                <w:caps w:val="false"/>
                <w:smallCaps w:val="false"/>
              </w:rPr>
              <w:t> </w:t>
            </w:r>
            <w:bookmarkStart w:id="456" w:name="xdx_986_eus-gaap--FederalIncomeTaxExpens"/>
            <w:bookmarkEnd w:id="456"/>
          </w:p>
        </w:tc>
        <w:tc>
          <w:tcPr>
            <w:tcW w:w="9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(395,529</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bookmarkStart w:id="457" w:name="xdx_98F_eus-gaap--CurrentStateAndLocalTa"/>
            <w:bookmarkEnd w:id="457"/>
          </w:p>
        </w:tc>
        <w:tc>
          <w:tcPr>
            <w:tcW w:w="94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bookmarkStart w:id="458" w:name="xdx_98F_eus-gaap--DeferredStateAndLocalI"/>
            <w:bookmarkEnd w:id="458"/>
          </w:p>
        </w:tc>
        <w:tc>
          <w:tcPr>
            <w:tcW w:w="9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(77,375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bookmarkStart w:id="459" w:name="xdx_987_eus-gaap--StateAndLocalIncomeTax"/>
            <w:bookmarkEnd w:id="459"/>
          </w:p>
        </w:tc>
        <w:tc>
          <w:tcPr>
            <w:tcW w:w="9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(66,634</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Tax Expense (Benefit)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bookmarkStart w:id="460" w:name="xdx_989_eus-gaap--CurrentIncomeTaxExpens"/>
            <w:bookmarkEnd w:id="460"/>
          </w:p>
        </w:tc>
        <w:tc>
          <w:tcPr>
            <w:tcW w:w="94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bookmarkStart w:id="461" w:name="xdx_988_eus-gaap--DeferredIncomeTaxExpen"/>
            <w:bookmarkEnd w:id="461"/>
          </w:p>
        </w:tc>
        <w:tc>
          <w:tcPr>
            <w:tcW w:w="9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(503,832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bookmarkStart w:id="462" w:name="xdx_98A_eus-gaap--IncomeTaxExpenseBenefi"/>
            <w:bookmarkEnd w:id="462"/>
          </w:p>
        </w:tc>
        <w:tc>
          <w:tcPr>
            <w:tcW w:w="9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(462,163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both"/>
        <w:rPr>
          <w:caps w:val="false"/>
          <w:smallCaps w:val="false"/>
        </w:rPr>
      </w:pPr>
      <w:bookmarkStart w:id="463" w:name="xdx_8A9_zGuZEnvwhask"/>
      <w:bookmarkEnd w:id="463"/>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significant portions of the deferred tax assets at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64" w:name="xdx_8B6_zSUoq3MgCFph"/>
      <w:bookmarkStart w:id="465" w:name="xdx_89C_eus-gaap--ScheduleOfDeferredTaxA"/>
      <w:bookmarkEnd w:id="464"/>
      <w:bookmarkEnd w:id="465"/>
      <w:r>
        <w:rPr>
          <w:rFonts w:ascii="Times New Roman;Times;Serif" w:hAnsi="Times New Roman;Times;Serif"/>
          <w:b w:val="false"/>
          <w:i w:val="false"/>
          <w:caps w:val="false"/>
          <w:smallCaps w:val="false"/>
          <w:sz w:val="20"/>
        </w:rPr>
        <w:t>Schedule of Deferred Tax Assets and Liabilities</w:t>
      </w:r>
    </w:p>
    <w:tbl>
      <w:tblPr>
        <w:tblW w:w="6118" w:type="dxa"/>
        <w:jc w:val="left"/>
        <w:tblInd w:w="0" w:type="dxa"/>
        <w:tblCellMar>
          <w:top w:w="0" w:type="dxa"/>
          <w:left w:w="0" w:type="dxa"/>
          <w:bottom w:w="0" w:type="dxa"/>
          <w:right w:w="0" w:type="dxa"/>
        </w:tblCellMar>
      </w:tblPr>
      <w:tblGrid>
        <w:gridCol w:w="2585"/>
        <w:gridCol w:w="60"/>
        <w:gridCol w:w="128"/>
        <w:gridCol w:w="1511"/>
        <w:gridCol w:w="60"/>
        <w:gridCol w:w="60"/>
        <w:gridCol w:w="149"/>
        <w:gridCol w:w="1490"/>
        <w:gridCol w:w="75"/>
      </w:tblGrid>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466" w:name="xdx_49D_20221231_zQEt5wHAO354"/>
            <w:bookmarkEnd w:id="466"/>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467" w:name="xdx_491_20211231_zmzBFpBI6Hz2"/>
            <w:bookmarkEnd w:id="467"/>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summary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bookmarkStart w:id="468" w:name="xdx_400_eus-gaap--DeferredTaxAssetsLiabi"/>
            <w:bookmarkEnd w:id="468"/>
          </w:p>
        </w:tc>
      </w:tr>
      <w:tr>
        <w:trPr/>
        <w:tc>
          <w:tcPr>
            <w:tcW w:w="258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464,594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38,137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469" w:name="xdx_405_eus-gaap--DeferredTaxAssetsLiabi"/>
            <w:bookmarkEnd w:id="469"/>
          </w:p>
        </w:tc>
      </w:tr>
      <w:tr>
        <w:trPr/>
        <w:tc>
          <w:tcPr>
            <w:tcW w:w="258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1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84,726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470" w:name="xdx_406_eus-gaap--DeferredTaxAssetsLiabi"/>
            <w:bookmarkEnd w:id="470"/>
          </w:p>
        </w:tc>
      </w:tr>
      <w:tr>
        <w:trPr/>
        <w:tc>
          <w:tcPr>
            <w:tcW w:w="258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1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549,320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6158" w:type="dxa"/>
        <w:jc w:val="left"/>
        <w:tblInd w:w="0" w:type="dxa"/>
        <w:tblCellMar>
          <w:top w:w="0" w:type="dxa"/>
          <w:left w:w="0" w:type="dxa"/>
          <w:bottom w:w="0" w:type="dxa"/>
          <w:right w:w="0" w:type="dxa"/>
        </w:tblCellMar>
      </w:tblPr>
      <w:tblGrid>
        <w:gridCol w:w="2585"/>
        <w:gridCol w:w="60"/>
        <w:gridCol w:w="128"/>
        <w:gridCol w:w="1511"/>
        <w:gridCol w:w="80"/>
        <w:gridCol w:w="60"/>
        <w:gridCol w:w="149"/>
        <w:gridCol w:w="1490"/>
        <w:gridCol w:w="95"/>
      </w:tblGrid>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471" w:name="xdx_49B_20221231_z2V7k8QCvvB1"/>
            <w:bookmarkEnd w:id="471"/>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472" w:name="xdx_491_20211231_zXX0eQakLMri"/>
            <w:bookmarkEnd w:id="472"/>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8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summary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473" w:name="xdx_407_ecustom--DeferredTaxAssetsRightO"/>
            <w:bookmarkEnd w:id="473"/>
          </w:p>
        </w:tc>
      </w:tr>
      <w:tr>
        <w:trPr/>
        <w:tc>
          <w:tcPr>
            <w:tcW w:w="2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lease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74" w:name="xdx_409_eus-gaap--DeferredTaxAssetsInven"/>
            <w:bookmarkEnd w:id="474"/>
          </w:p>
        </w:tc>
      </w:tr>
      <w:tr>
        <w:trPr/>
        <w:tc>
          <w:tcPr>
            <w:tcW w:w="2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allowance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5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209,131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46,268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475" w:name="xdx_408_ecustom--DeferredTaxNetLoss_iI_m"/>
            <w:bookmarkEnd w:id="475"/>
          </w:p>
        </w:tc>
      </w:tr>
      <w:tr>
        <w:trPr/>
        <w:tc>
          <w:tcPr>
            <w:tcW w:w="2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carry forward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1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340,328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476" w:name="xdx_404_eus-gaap--DeferredTaxAssetsNet_i"/>
            <w:bookmarkEnd w:id="476"/>
          </w:p>
        </w:tc>
      </w:tr>
      <w:tr>
        <w:trPr/>
        <w:tc>
          <w:tcPr>
            <w:tcW w:w="258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1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549,320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bookmarkStart w:id="477" w:name="xdx_8A2_z2W7SQsmqtea"/>
      <w:bookmarkEnd w:id="477"/>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income tax return in the U.S. federal jurisdiction and Washington state jurisdictions. Based on management evaluation, there is </w:t>
      </w:r>
      <w:bookmarkStart w:id="478" w:name="xdx_905_eus-gaap--LiabilityForUncertainT"/>
      <w:bookmarkEnd w:id="478"/>
      <w:r>
        <w:rPr>
          <w:rFonts w:ascii="Times New Roman;Times;Serif" w:hAnsi="Times New Roman;Times;Serif"/>
          <w:b w:val="false"/>
          <w:i w:val="false"/>
          <w:caps w:val="false"/>
          <w:smallCaps w:val="false"/>
          <w:sz w:val="20"/>
        </w:rPr>
        <w:t>no provision necessary for material uncertain tax position for the Company at December 31, 2022 and 2021.</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generate sufficient taxable income in future periods against which the Deferred Tax Assets can be utilized, a valuation allowance may not be needed.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79" w:name="xdx_80C_eus-gaap--RevenueFromContractWit"/>
      <w:bookmarkEnd w:id="479"/>
      <w:r>
        <w:rPr>
          <w:rFonts w:ascii="Times New Roman;Times;Serif" w:hAnsi="Times New Roman;Times;Serif"/>
          <w:b/>
          <w:i w:val="false"/>
          <w:caps w:val="false"/>
          <w:smallCaps w:val="false"/>
          <w:sz w:val="20"/>
        </w:rPr>
        <w:t xml:space="preserve">NOTE 12 - </w:t>
      </w:r>
      <w:bookmarkStart w:id="480" w:name="xdx_825_zPu89KzRKITj"/>
      <w:bookmarkEnd w:id="480"/>
      <w:r>
        <w:rPr>
          <w:rFonts w:ascii="Times New Roman;Times;Serif" w:hAnsi="Times New Roman;Times;Serif"/>
          <w:b/>
          <w:i w:val="false"/>
          <w:caps w:val="false"/>
          <w:smallCaps w:val="false"/>
          <w:sz w:val="20"/>
        </w:rPr>
        <w:t>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81" w:name="xdx_89C_eus-gaap--DisaggregationOfRevenu"/>
      <w:bookmarkEnd w:id="481"/>
      <w:r>
        <w:rPr>
          <w:rFonts w:ascii="Times New Roman;Times;Serif" w:hAnsi="Times New Roman;Times;Serif"/>
          <w:b w:val="false"/>
          <w:i w:val="false"/>
          <w:caps w:val="false"/>
          <w:smallCaps w:val="false"/>
          <w:sz w:val="20"/>
        </w:rPr>
        <w:t>Revenue was comprised of the following for the years ended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82" w:name="xdx_8B5_zmqwOKCCoAic"/>
      <w:bookmarkEnd w:id="482"/>
      <w:r>
        <w:rPr>
          <w:rFonts w:ascii="Times New Roman;Times;Serif" w:hAnsi="Times New Roman;Times;Serif"/>
          <w:b w:val="false"/>
          <w:i w:val="false"/>
          <w:caps w:val="false"/>
          <w:smallCaps w:val="false"/>
          <w:sz w:val="20"/>
        </w:rPr>
        <w:t>Schedule of Revenue</w:t>
      </w:r>
    </w:p>
    <w:tbl>
      <w:tblPr>
        <w:tblW w:w="3605" w:type="dxa"/>
        <w:jc w:val="left"/>
        <w:tblInd w:w="0" w:type="dxa"/>
        <w:tblCellMar>
          <w:top w:w="0" w:type="dxa"/>
          <w:left w:w="0" w:type="dxa"/>
          <w:bottom w:w="0" w:type="dxa"/>
          <w:right w:w="0" w:type="dxa"/>
        </w:tblCellMar>
      </w:tblPr>
      <w:tblGrid>
        <w:gridCol w:w="1055"/>
        <w:gridCol w:w="60"/>
        <w:gridCol w:w="125"/>
        <w:gridCol w:w="1055"/>
        <w:gridCol w:w="80"/>
        <w:gridCol w:w="60"/>
        <w:gridCol w:w="125"/>
        <w:gridCol w:w="950"/>
        <w:gridCol w:w="95"/>
      </w:tblGrid>
      <w:tr>
        <w:trPr/>
        <w:tc>
          <w:tcPr>
            <w:tcW w:w="105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83" w:name="xdx_493_20220101__20221231_ztbIWofs68V2"/>
            <w:bookmarkEnd w:id="483"/>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84" w:name="xdx_491_20210101__20211231_zq6ot0vTuVoa"/>
            <w:bookmarkEnd w:id="484"/>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9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105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485" w:name="xdx_400_ecustom--RevenueGross_maRFCWCzrE"/>
            <w:bookmarkEnd w:id="485"/>
          </w:p>
        </w:tc>
      </w:tr>
      <w:tr>
        <w:trPr/>
        <w:tc>
          <w:tcPr>
            <w:tcW w:w="10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103,268,013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66,833,003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486" w:name="xdx_408_ecustom--SalesReturns_iN_di_msRF"/>
            <w:bookmarkEnd w:id="486"/>
          </w:p>
        </w:tc>
      </w:tr>
      <w:tr>
        <w:trPr/>
        <w:tc>
          <w:tcPr>
            <w:tcW w:w="10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returns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(5,973,689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(3,245,872</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7" w:name="xdx_402_ecustom--Discounts_iN_di_msRFCWC"/>
            <w:bookmarkEnd w:id="487"/>
          </w:p>
        </w:tc>
      </w:tr>
      <w:tr>
        <w:trPr/>
        <w:tc>
          <w:tcPr>
            <w:tcW w:w="10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(1,364,233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(794,150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8" w:name="xdx_401_eus-gaap--RevenueFromContractWit"/>
            <w:bookmarkEnd w:id="488"/>
          </w:p>
        </w:tc>
      </w:tr>
      <w:tr>
        <w:trPr/>
        <w:tc>
          <w:tcPr>
            <w:tcW w:w="10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95,930,091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62,792,981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bookmarkStart w:id="489" w:name="xdx_8AF_zoIGDzRG7fq"/>
      <w:bookmarkEnd w:id="489"/>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F-16</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90" w:name="xdx_803_ecustom--GeneralAndAdministrativ"/>
      <w:bookmarkEnd w:id="490"/>
      <w:r>
        <w:rPr>
          <w:rFonts w:ascii="Times New Roman;Times;Serif" w:hAnsi="Times New Roman;Times;Serif"/>
          <w:b/>
          <w:i w:val="false"/>
          <w:caps w:val="false"/>
          <w:smallCaps w:val="false"/>
          <w:sz w:val="20"/>
        </w:rPr>
        <w:t xml:space="preserve">NOTE 13 - </w:t>
      </w:r>
      <w:bookmarkStart w:id="491" w:name="xdx_82E_z0zTYgTFwSCa"/>
      <w:bookmarkEnd w:id="491"/>
      <w:r>
        <w:rPr>
          <w:rFonts w:ascii="Times New Roman;Times;Serif" w:hAnsi="Times New Roman;Times;Serif"/>
          <w:b/>
          <w:i w:val="false"/>
          <w:caps w:val="false"/>
          <w:smallCaps w:val="false"/>
          <w:sz w:val="20"/>
        </w:rPr>
        <w:t>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92" w:name="xdx_895_ecustom--GeneralAndAdministrativ"/>
      <w:bookmarkEnd w:id="492"/>
      <w:r>
        <w:rPr>
          <w:rFonts w:ascii="Times New Roman;Times;Serif" w:hAnsi="Times New Roman;Times;Serif"/>
          <w:b w:val="false"/>
          <w:i w:val="false"/>
          <w:caps w:val="false"/>
          <w:smallCaps w:val="false"/>
          <w:sz w:val="20"/>
        </w:rPr>
        <w:t>General and administrative expenses were comprised of the following for the periods ended December 31, 2022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93" w:name="xdx_8B2_zVf27WVn0E31"/>
      <w:bookmarkEnd w:id="493"/>
      <w:r>
        <w:rPr>
          <w:rFonts w:ascii="Times New Roman;Times;Serif" w:hAnsi="Times New Roman;Times;Serif"/>
          <w:b/>
          <w:i w:val="false"/>
          <w:caps w:val="false"/>
          <w:smallCaps w:val="false"/>
          <w:sz w:val="20"/>
        </w:rPr>
        <w:t>Schedule of General and Administrative Expenses</w:t>
      </w:r>
    </w:p>
    <w:tbl>
      <w:tblPr>
        <w:tblW w:w="5740" w:type="dxa"/>
        <w:jc w:val="left"/>
        <w:tblInd w:w="0" w:type="dxa"/>
        <w:tblCellMar>
          <w:top w:w="0" w:type="dxa"/>
          <w:left w:w="0" w:type="dxa"/>
          <w:bottom w:w="0" w:type="dxa"/>
          <w:right w:w="0" w:type="dxa"/>
        </w:tblCellMar>
      </w:tblPr>
      <w:tblGrid>
        <w:gridCol w:w="3545"/>
        <w:gridCol w:w="60"/>
        <w:gridCol w:w="125"/>
        <w:gridCol w:w="845"/>
        <w:gridCol w:w="60"/>
        <w:gridCol w:w="60"/>
        <w:gridCol w:w="125"/>
        <w:gridCol w:w="845"/>
        <w:gridCol w:w="75"/>
      </w:tblGrid>
      <w:tr>
        <w:trPr/>
        <w:tc>
          <w:tcPr>
            <w:tcW w:w="354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94" w:name="xdx_493_20220101__20221231_zOVQ0Wo0x9b"/>
            <w:bookmarkEnd w:id="494"/>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bookmarkStart w:id="495" w:name="xdx_491_20210101__20211231_z9rzEWNO9msk"/>
            <w:bookmarkEnd w:id="495"/>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54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bookmarkStart w:id="496" w:name="xdx_40D_eus-gaap--LaborAndRelatedExpense"/>
            <w:bookmarkEnd w:id="496"/>
          </w:p>
        </w:tc>
      </w:tr>
      <w:tr>
        <w:trPr/>
        <w:tc>
          <w:tcPr>
            <w:tcW w:w="35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5,477,780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3,164,718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497" w:name="xdx_40C_eus-gaap--LegalFees_maGAAEzhEQ_z"/>
            <w:bookmarkEnd w:id="497"/>
          </w:p>
        </w:tc>
      </w:tr>
      <w:tr>
        <w:trPr/>
        <w:tc>
          <w:tcPr>
            <w:tcW w:w="35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810,212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49,466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498" w:name="xdx_406_eus-gaap--GeneralInsuranceExpens"/>
            <w:bookmarkEnd w:id="498"/>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575,472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158,185</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499" w:name="xdx_40E_eus-gaap--OperatingLeaseExpense_"/>
            <w:bookmarkEnd w:id="499"/>
          </w:p>
        </w:tc>
      </w:tr>
      <w:tr>
        <w:trPr/>
        <w:tc>
          <w:tcPr>
            <w:tcW w:w="35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Storage &amp; rental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594,908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126,718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500" w:name="xdx_40E_eus-gaap--TaxesOther_maGAAEzhEQ_"/>
            <w:bookmarkEnd w:id="500"/>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88,248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84,914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501" w:name="xdx_400_ecustom--OutsideServicesExpense_"/>
            <w:bookmarkEnd w:id="501"/>
          </w:p>
        </w:tc>
      </w:tr>
      <w:tr>
        <w:trPr/>
        <w:tc>
          <w:tcPr>
            <w:tcW w:w="35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288,552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170,876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502" w:name="xdx_408_eus-gaap--FranchisorCosts_maGAAE"/>
            <w:bookmarkEnd w:id="502"/>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tax</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49,870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503" w:name="xdx_40C_eus-gaap--PensionExpense_maGAAEz"/>
            <w:bookmarkEnd w:id="503"/>
          </w:p>
        </w:tc>
      </w:tr>
      <w:tr>
        <w:trPr/>
        <w:tc>
          <w:tcPr>
            <w:tcW w:w="354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177,434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504" w:name="xdx_40F_ecustom--GeneralAndAdministrativ"/>
            <w:bookmarkEnd w:id="504"/>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47,814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65,823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505" w:name="xdx_402_ecustom--GeneralAndAdministrativ"/>
            <w:bookmarkEnd w:id="505"/>
          </w:p>
        </w:tc>
      </w:tr>
      <w:tr>
        <w:trPr/>
        <w:tc>
          <w:tcPr>
            <w:tcW w:w="35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subscriptions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219,277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506" w:name="xdx_407_ecustom--ManpowerRecruitmentAdve"/>
            <w:bookmarkEnd w:id="506"/>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Manpower recruitment advertising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507" w:name="xdx_404_eus-gaap--TravelAndEntertainment"/>
            <w:bookmarkEnd w:id="507"/>
          </w:p>
        </w:tc>
      </w:tr>
      <w:tr>
        <w:trPr/>
        <w:tc>
          <w:tcPr>
            <w:tcW w:w="35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Meals and entertainment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88,125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bookmarkStart w:id="508" w:name="xdx_40E_eus-gaap--OtherGeneralAndAdminis"/>
            <w:bookmarkEnd w:id="508"/>
          </w:p>
        </w:tc>
      </w:tr>
      <w:tr>
        <w:trPr/>
        <w:tc>
          <w:tcPr>
            <w:tcW w:w="35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274,992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bookmarkStart w:id="509" w:name="xdx_405_eus-gaap--GeneralAndAdministrati"/>
            <w:bookmarkEnd w:id="509"/>
          </w:p>
        </w:tc>
      </w:tr>
      <w:tr>
        <w:trPr/>
        <w:tc>
          <w:tcPr>
            <w:tcW w:w="354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8,685,254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4,236,000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and 2021, the Company worked with Teknia Web Solutions, who is a technology company based in the Philippines that provides technology services to businesses and organizations. The expenses incurred of $</w:t>
      </w:r>
      <w:bookmarkStart w:id="510" w:name="xdx_901_ecustom--OutsideServicesExpenses"/>
      <w:bookmarkEnd w:id="510"/>
      <w:r>
        <w:rPr>
          <w:rFonts w:ascii="Times New Roman;Times;Serif" w:hAnsi="Times New Roman;Times;Serif"/>
          <w:b w:val="false"/>
          <w:i w:val="false"/>
          <w:caps w:val="false"/>
          <w:smallCaps w:val="false"/>
          <w:sz w:val="20"/>
        </w:rPr>
        <w:t>288,552 and $</w:t>
      </w:r>
      <w:bookmarkStart w:id="511" w:name="xdx_900_ecustom--OutsideServicesExpenses"/>
      <w:bookmarkEnd w:id="511"/>
      <w:r>
        <w:rPr>
          <w:rFonts w:ascii="Times New Roman;Times;Serif" w:hAnsi="Times New Roman;Times;Serif"/>
          <w:b w:val="false"/>
          <w:i w:val="false"/>
          <w:caps w:val="false"/>
          <w:smallCaps w:val="false"/>
          <w:sz w:val="20"/>
        </w:rPr>
        <w:t>170,876 are recorded as outside services expense as disclosed.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December 31, 2022 and 2021, the Company had $</w:t>
      </w:r>
      <w:bookmarkStart w:id="512" w:name="xdx_904_eus-gaap--PensionExpense_c202201"/>
      <w:bookmarkEnd w:id="512"/>
      <w:r>
        <w:rPr>
          <w:rFonts w:ascii="Times New Roman;Times;Serif" w:hAnsi="Times New Roman;Times;Serif"/>
          <w:b w:val="false"/>
          <w:i w:val="false"/>
          <w:caps w:val="false"/>
          <w:smallCaps w:val="false"/>
          <w:sz w:val="20"/>
        </w:rPr>
        <w:t>177,434 and $</w:t>
      </w:r>
      <w:bookmarkStart w:id="513" w:name="xdx_90F_eus-gaap--PensionExpense_c202101"/>
      <w:bookmarkEnd w:id="513"/>
      <w:r>
        <w:rPr>
          <w:rFonts w:ascii="Times New Roman;Times;Serif" w:hAnsi="Times New Roman;Times;Serif"/>
          <w:b w:val="false"/>
          <w:i w:val="false"/>
          <w:caps w:val="false"/>
          <w:smallCaps w:val="false"/>
          <w:sz w:val="20"/>
        </w:rPr>
        <w:t>62,319 for Pension expenses, which is a retirement benefit required by the Labor Standards Act in Taiwan, which mandates employers to provide retirement benefits to their employees.</w:t>
      </w:r>
    </w:p>
    <w:p>
      <w:pPr>
        <w:pStyle w:val="TextBody"/>
        <w:spacing w:before="0" w:after="0"/>
        <w:ind w:left="0" w:right="0" w:hanging="0"/>
        <w:rPr>
          <w:caps w:val="false"/>
          <w:smallCaps w:val="false"/>
        </w:rPr>
      </w:pPr>
      <w:bookmarkStart w:id="514" w:name="xdx_8A7_zI6si4LkEqbc"/>
      <w:bookmarkEnd w:id="514"/>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15" w:name="xdx_809_eus-gaap--StockholdersEquityNote"/>
      <w:bookmarkEnd w:id="515"/>
      <w:r>
        <w:rPr>
          <w:rFonts w:ascii="Times New Roman;Times;Serif" w:hAnsi="Times New Roman;Times;Serif"/>
          <w:b/>
          <w:i w:val="false"/>
          <w:caps w:val="false"/>
          <w:smallCaps w:val="false"/>
          <w:sz w:val="20"/>
        </w:rPr>
        <w:t xml:space="preserve">NOTE 14 - </w:t>
      </w:r>
      <w:bookmarkStart w:id="516" w:name="xdx_828_zflnIZ7Ubij3"/>
      <w:bookmarkEnd w:id="516"/>
      <w:r>
        <w:rPr>
          <w:rFonts w:ascii="Times New Roman;Times;Serif" w:hAnsi="Times New Roman;Times;Serif"/>
          <w:b/>
          <w:i w:val="false"/>
          <w:caps w:val="false"/>
          <w:smallCaps w:val="false"/>
          <w:sz w:val="20"/>
        </w:rPr>
        <w:t>Stockholders’ Equity</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made distribution to stockholders of $</w:t>
      </w:r>
      <w:bookmarkStart w:id="517" w:name="xdx_907_ecustom--AccumulatedDistribution"/>
      <w:bookmarkEnd w:id="517"/>
      <w:r>
        <w:rPr>
          <w:rFonts w:ascii="Times New Roman;Times;Serif" w:hAnsi="Times New Roman;Times;Serif"/>
          <w:b w:val="false"/>
          <w:i w:val="false"/>
          <w:caps w:val="false"/>
          <w:smallCaps w:val="false"/>
          <w:sz w:val="20"/>
        </w:rPr>
        <w:t>6,302,418 and capital contribution of $</w:t>
      </w:r>
      <w:bookmarkStart w:id="518" w:name="xdx_90E_eus-gaap--AdjustmentsToAdditiona"/>
      <w:bookmarkEnd w:id="518"/>
      <w:r>
        <w:rPr>
          <w:rFonts w:ascii="Times New Roman;Times;Serif" w:hAnsi="Times New Roman;Times;Serif"/>
          <w:b w:val="false"/>
          <w:i w:val="false"/>
          <w:caps w:val="false"/>
          <w:smallCaps w:val="false"/>
          <w:sz w:val="20"/>
        </w:rPr>
        <w:t>2,800.</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and 2021, the Company had </w:t>
      </w:r>
      <w:bookmarkStart w:id="519" w:name="xdx_901_eus-gaap--PreferredStockSharesAu"/>
      <w:bookmarkStart w:id="520" w:name="xdx_902_eus-gaap--PreferredStockSharesAu"/>
      <w:bookmarkEnd w:id="519"/>
      <w:bookmarkEnd w:id="520"/>
      <w:r>
        <w:rPr>
          <w:rFonts w:ascii="Times New Roman;Times;Serif" w:hAnsi="Times New Roman;Times;Serif"/>
          <w:b w:val="false"/>
          <w:i w:val="false"/>
          <w:caps w:val="false"/>
          <w:smallCaps w:val="false"/>
          <w:sz w:val="20"/>
        </w:rPr>
        <w:t>10,000,000 shares of preferred stock, $</w:t>
      </w:r>
      <w:bookmarkStart w:id="521" w:name="xdx_901_eus-gaap--PreferredStockParOrSta"/>
      <w:bookmarkStart w:id="522" w:name="xdx_90B_eus-gaap--PreferredStockParOrSta"/>
      <w:bookmarkEnd w:id="521"/>
      <w:bookmarkEnd w:id="522"/>
      <w:r>
        <w:rPr>
          <w:rFonts w:ascii="Times New Roman;Times;Serif" w:hAnsi="Times New Roman;Times;Serif"/>
          <w:b w:val="false"/>
          <w:i w:val="false"/>
          <w:caps w:val="false"/>
          <w:smallCaps w:val="false"/>
          <w:sz w:val="20"/>
        </w:rPr>
        <w:t xml:space="preserve">0.0001 par value per share, authorized. The Company did </w:t>
      </w:r>
      <w:bookmarkStart w:id="523" w:name="xdx_905_eus-gaap--PreferredStockSharesOu"/>
      <w:bookmarkStart w:id="524" w:name="xdx_90B_eus-gaap--PreferredStockSharesOu"/>
      <w:bookmarkEnd w:id="523"/>
      <w:bookmarkEnd w:id="524"/>
      <w:r>
        <w:rPr>
          <w:rFonts w:ascii="Times New Roman;Times;Serif" w:hAnsi="Times New Roman;Times;Serif"/>
          <w:b w:val="false"/>
          <w:i w:val="false"/>
          <w:caps w:val="false"/>
          <w:smallCaps w:val="false"/>
          <w:sz w:val="20"/>
        </w:rPr>
        <w:t>not have any preferred shares outstanding as of December 31, 2022 and 2021. The holders of the preferred stock in preference, are entitled to receive dividends, if and when declared by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and 2021, the Company had </w:t>
      </w:r>
      <w:bookmarkStart w:id="525" w:name="xdx_904_eus-gaap--CommonStockSharesAutho"/>
      <w:bookmarkStart w:id="526" w:name="xdx_90F_eus-gaap--CommonStockSharesAutho"/>
      <w:bookmarkEnd w:id="525"/>
      <w:bookmarkEnd w:id="526"/>
      <w:r>
        <w:rPr>
          <w:rFonts w:ascii="Times New Roman;Times;Serif" w:hAnsi="Times New Roman;Times;Serif"/>
          <w:b w:val="false"/>
          <w:i w:val="false"/>
          <w:caps w:val="false"/>
          <w:smallCaps w:val="false"/>
          <w:sz w:val="20"/>
        </w:rPr>
        <w:t>300,000,000 shares of common stock, $</w:t>
      </w:r>
      <w:bookmarkStart w:id="527" w:name="xdx_90F_eus-gaap--CommonStockParOrStated"/>
      <w:bookmarkStart w:id="528" w:name="xdx_908_eus-gaap--CommonStockParOrStated"/>
      <w:bookmarkEnd w:id="527"/>
      <w:bookmarkEnd w:id="528"/>
      <w:r>
        <w:rPr>
          <w:rFonts w:ascii="Times New Roman;Times;Serif" w:hAnsi="Times New Roman;Times;Serif"/>
          <w:b w:val="false"/>
          <w:i w:val="false"/>
          <w:caps w:val="false"/>
          <w:smallCaps w:val="false"/>
          <w:sz w:val="20"/>
        </w:rPr>
        <w:t xml:space="preserve">0.0001 par value per share, authorized. As of December 31, 2022 and 2021, there were </w:t>
      </w:r>
      <w:bookmarkStart w:id="529" w:name="xdx_904_eus-gaap--CommonStockSharesOutst"/>
      <w:bookmarkEnd w:id="529"/>
      <w:r>
        <w:rPr>
          <w:rFonts w:ascii="Times New Roman;Times;Serif" w:hAnsi="Times New Roman;Times;Serif"/>
          <w:b w:val="false"/>
          <w:i w:val="false"/>
          <w:caps w:val="false"/>
          <w:smallCaps w:val="false"/>
          <w:sz w:val="20"/>
        </w:rPr>
        <w:t xml:space="preserve">35,047,828 and </w:t>
      </w:r>
      <w:bookmarkStart w:id="530" w:name="xdx_907_eus-gaap--CommonStockSharesOutst"/>
      <w:bookmarkEnd w:id="530"/>
      <w:r>
        <w:rPr>
          <w:rFonts w:ascii="Times New Roman;Times;Serif" w:hAnsi="Times New Roman;Times;Serif"/>
          <w:b w:val="false"/>
          <w:i w:val="false"/>
          <w:caps w:val="false"/>
          <w:smallCaps w:val="false"/>
          <w:sz w:val="20"/>
        </w:rPr>
        <w:t>33,300,000 shares of common stock outstanding,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Split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27, 2021, the Company completed a stock split such that each outstanding stock was sub-divided and converted into </w:t>
      </w:r>
      <w:bookmarkStart w:id="531" w:name="xdx_90A_eus-gaap--StockIssuedDuringPerio"/>
      <w:bookmarkEnd w:id="531"/>
      <w:r>
        <w:rPr>
          <w:rFonts w:ascii="Times New Roman;Times;Serif" w:hAnsi="Times New Roman;Times;Serif"/>
          <w:b w:val="false"/>
          <w:i w:val="false"/>
          <w:caps w:val="false"/>
          <w:smallCaps w:val="false"/>
          <w:sz w:val="20"/>
        </w:rPr>
        <w:t xml:space="preserve">4.44 shares of common stock. As result of the stock split, the total number of shares outstanding became </w:t>
      </w:r>
      <w:bookmarkStart w:id="532" w:name="xdx_905_eus-gaap--StockIssuedDuringPerio"/>
      <w:bookmarkEnd w:id="532"/>
      <w:r>
        <w:rPr>
          <w:rFonts w:ascii="Times New Roman;Times;Serif" w:hAnsi="Times New Roman;Times;Serif"/>
          <w:b w:val="false"/>
          <w:i w:val="false"/>
          <w:caps w:val="false"/>
          <w:smallCaps w:val="false"/>
          <w:sz w:val="20"/>
        </w:rPr>
        <w:t>44,400,000.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December 3, 2021, the Company had </w:t>
      </w:r>
      <w:bookmarkStart w:id="533" w:name="xdx_903_eus-gaap--CommonStockSharesAutho"/>
      <w:bookmarkEnd w:id="533"/>
      <w:r>
        <w:rPr>
          <w:rFonts w:ascii="Times New Roman;Times;Serif" w:hAnsi="Times New Roman;Times;Serif"/>
          <w:b w:val="false"/>
          <w:i w:val="false"/>
          <w:caps w:val="false"/>
          <w:smallCaps w:val="false"/>
          <w:sz w:val="20"/>
        </w:rPr>
        <w:t>440,000,000 shares of common stock, $</w:t>
      </w:r>
      <w:bookmarkStart w:id="534" w:name="xdx_90E_eus-gaap--CommonStockParOrStated"/>
      <w:bookmarkEnd w:id="534"/>
      <w:r>
        <w:rPr>
          <w:rFonts w:ascii="Times New Roman;Times;Serif" w:hAnsi="Times New Roman;Times;Serif"/>
          <w:b w:val="false"/>
          <w:i w:val="false"/>
          <w:caps w:val="false"/>
          <w:smallCaps w:val="false"/>
          <w:sz w:val="20"/>
        </w:rPr>
        <w:t>0.0001 par value per share, authorized.</w:t>
      </w:r>
    </w:p>
    <w:p>
      <w:pPr>
        <w:pStyle w:val="TextBody"/>
        <w:spacing w:before="0" w:after="0"/>
        <w:ind w:left="0" w:right="0" w:hanging="0"/>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F-17</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periods ended December 31, 2022 and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 2021, </w:t>
      </w:r>
      <w:bookmarkStart w:id="535" w:name="xdx_90B_eus-gaap--StockholdersEquityReve"/>
      <w:bookmarkEnd w:id="535"/>
      <w:r>
        <w:rPr>
          <w:rFonts w:ascii="Times New Roman;Times;Serif" w:hAnsi="Times New Roman;Times;Serif"/>
          <w:b w:val="false"/>
          <w:i w:val="false"/>
          <w:caps w:val="false"/>
          <w:smallCaps w:val="false"/>
          <w:sz w:val="20"/>
        </w:rPr>
        <w:t xml:space="preserve">the Company effected a reverse stock split, pursuant to which each existing share of common stock was split into 0.75 share of the Company’s common stock. This reverse stock split caused the number of shares of common stock outstanding to decrease from </w:t>
      </w:r>
      <w:bookmarkStart w:id="536" w:name="xdx_909_eus-gaap--CommonStockSharesOutst"/>
      <w:bookmarkEnd w:id="536"/>
      <w:r>
        <w:rPr>
          <w:rFonts w:ascii="Times New Roman;Times;Serif" w:hAnsi="Times New Roman;Times;Serif"/>
          <w:b w:val="false"/>
          <w:i w:val="false"/>
          <w:caps w:val="false"/>
          <w:smallCaps w:val="false"/>
          <w:sz w:val="20"/>
        </w:rPr>
        <w:t xml:space="preserve">44,400,000 to </w:t>
      </w:r>
      <w:bookmarkStart w:id="537" w:name="xdx_903_eus-gaap--CommonStockSharesOutst"/>
      <w:bookmarkEnd w:id="537"/>
      <w:r>
        <w:rPr>
          <w:rFonts w:ascii="Times New Roman;Times;Serif" w:hAnsi="Times New Roman;Times;Serif"/>
          <w:b w:val="false"/>
          <w:i w:val="false"/>
          <w:caps w:val="false"/>
          <w:smallCaps w:val="false"/>
          <w:sz w:val="20"/>
        </w:rPr>
        <w:t>33,300,000. All per share amounts and number of shares in the consolidated financial statements and related notes have been retrospectively adjusted to reflect the reverse stock split.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 for Stock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 2022, the Company issued and vested </w:t>
      </w:r>
      <w:bookmarkStart w:id="538" w:name="xdx_90D_eus-gaap--ShareBasedCompensation"/>
      <w:bookmarkStart w:id="539" w:name="xdx_906_eus-gaap--ShareBasedCompensation"/>
      <w:bookmarkStart w:id="540" w:name="xdx_907_eus-gaap--StockIssuedDuringPerio"/>
      <w:bookmarkStart w:id="541" w:name="xdx_906_eus-gaap--StockIssuedDuringPerio"/>
      <w:bookmarkEnd w:id="538"/>
      <w:bookmarkEnd w:id="539"/>
      <w:bookmarkEnd w:id="540"/>
      <w:bookmarkEnd w:id="541"/>
      <w:r>
        <w:rPr>
          <w:rFonts w:ascii="Times New Roman;Times;Serif" w:hAnsi="Times New Roman;Times;Serif"/>
          <w:b w:val="false"/>
          <w:i w:val="false"/>
          <w:caps w:val="false"/>
          <w:smallCaps w:val="false"/>
          <w:sz w:val="20"/>
        </w:rPr>
        <w:t>1,772 shares of Company common stock to each of Sam Lai, our Chief Executive Officer, and Maggie Yu, our Senior Vice President, with a fair market value of $</w:t>
      </w:r>
      <w:bookmarkStart w:id="542" w:name="xdx_90C_eus-gaap--SharesIssuedPricePerSh"/>
      <w:bookmarkStart w:id="543" w:name="xdx_90A_eus-gaap--SharesIssuedPricePerSh"/>
      <w:bookmarkEnd w:id="542"/>
      <w:bookmarkEnd w:id="543"/>
      <w:r>
        <w:rPr>
          <w:rFonts w:ascii="Times New Roman;Times;Serif" w:hAnsi="Times New Roman;Times;Serif"/>
          <w:b w:val="false"/>
          <w:i w:val="false"/>
          <w:caps w:val="false"/>
          <w:smallCaps w:val="false"/>
          <w:sz w:val="20"/>
        </w:rPr>
        <w:t>4.00 per share as compensation for the past services to the Company pursuant to the terms of their Executive Employment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 2022, the Company issued and vested </w:t>
      </w:r>
      <w:bookmarkStart w:id="544" w:name="xdx_90D_eus-gaap--ShareBasedCompensation"/>
      <w:bookmarkStart w:id="545" w:name="xdx_906_eus-gaap--StockIssuedDuringPerio"/>
      <w:bookmarkEnd w:id="544"/>
      <w:bookmarkEnd w:id="545"/>
      <w:r>
        <w:rPr>
          <w:rFonts w:ascii="Times New Roman;Times;Serif" w:hAnsi="Times New Roman;Times;Serif"/>
          <w:b w:val="false"/>
          <w:i w:val="false"/>
          <w:caps w:val="false"/>
          <w:smallCaps w:val="false"/>
          <w:sz w:val="20"/>
        </w:rPr>
        <w:t xml:space="preserve">1,750, </w:t>
      </w:r>
      <w:bookmarkStart w:id="546" w:name="xdx_907_eus-gaap--ShareBasedCompensation"/>
      <w:bookmarkStart w:id="547" w:name="xdx_90B_eus-gaap--StockIssuedDuringPerio"/>
      <w:bookmarkEnd w:id="546"/>
      <w:bookmarkEnd w:id="547"/>
      <w:r>
        <w:rPr>
          <w:rFonts w:ascii="Times New Roman;Times;Serif" w:hAnsi="Times New Roman;Times;Serif"/>
          <w:b w:val="false"/>
          <w:i w:val="false"/>
          <w:caps w:val="false"/>
          <w:smallCaps w:val="false"/>
          <w:sz w:val="20"/>
        </w:rPr>
        <w:t xml:space="preserve">1,750, and </w:t>
      </w:r>
      <w:bookmarkStart w:id="548" w:name="xdx_903_eus-gaap--ShareBasedCompensation"/>
      <w:bookmarkStart w:id="549" w:name="xdx_90A_eus-gaap--StockIssuedDuringPerio"/>
      <w:bookmarkEnd w:id="548"/>
      <w:bookmarkEnd w:id="549"/>
      <w:r>
        <w:rPr>
          <w:rFonts w:ascii="Times New Roman;Times;Serif" w:hAnsi="Times New Roman;Times;Serif"/>
          <w:b w:val="false"/>
          <w:i w:val="false"/>
          <w:caps w:val="false"/>
          <w:smallCaps w:val="false"/>
          <w:sz w:val="20"/>
        </w:rPr>
        <w:t>709 shares of Company common stock to Michael Lenner, Douglas Branch, and Alan Gao, respectively, with a fair market value of $</w:t>
      </w:r>
      <w:bookmarkStart w:id="550" w:name="xdx_902_eus-gaap--SharesIssuedPricePerSh"/>
      <w:bookmarkStart w:id="551" w:name="xdx_90A_eus-gaap--SharesIssuedPricePerSh"/>
      <w:bookmarkStart w:id="552" w:name="xdx_905_eus-gaap--SharesIssuedPricePerSh"/>
      <w:bookmarkEnd w:id="550"/>
      <w:bookmarkEnd w:id="551"/>
      <w:bookmarkEnd w:id="552"/>
      <w:r>
        <w:rPr>
          <w:rFonts w:ascii="Times New Roman;Times;Serif" w:hAnsi="Times New Roman;Times;Serif"/>
          <w:b w:val="false"/>
          <w:i w:val="false"/>
          <w:caps w:val="false"/>
          <w:smallCaps w:val="false"/>
          <w:sz w:val="20"/>
        </w:rPr>
        <w:t>4.00 per share as compensation for the past services as directors to the Company pursuant to the terms of their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2022, the Company issued and vested </w:t>
      </w:r>
      <w:bookmarkStart w:id="553" w:name="xdx_903_eus-gaap--ShareBasedCompensation"/>
      <w:bookmarkStart w:id="554" w:name="xdx_909_eus-gaap--ShareBasedCompensation"/>
      <w:bookmarkStart w:id="555" w:name="xdx_90D_eus-gaap--ShareBasedCompensation"/>
      <w:bookmarkStart w:id="556" w:name="xdx_902_eus-gaap--ShareBasedCompensation"/>
      <w:bookmarkStart w:id="557" w:name="xdx_902_eus-gaap--ShareBasedCompensation"/>
      <w:bookmarkStart w:id="558" w:name="xdx_908_eus-gaap--StockIssuedDuringPerio"/>
      <w:bookmarkStart w:id="559" w:name="xdx_906_eus-gaap--StockIssuedDuringPerio"/>
      <w:bookmarkStart w:id="560" w:name="xdx_908_eus-gaap--StockIssuedDuringPerio"/>
      <w:bookmarkStart w:id="561" w:name="xdx_900_eus-gaap--StockIssuedDuringPerio"/>
      <w:bookmarkStart w:id="562" w:name="xdx_90D_eus-gaap--StockIssuedDuringPerio"/>
      <w:bookmarkEnd w:id="553"/>
      <w:bookmarkEnd w:id="554"/>
      <w:bookmarkEnd w:id="555"/>
      <w:bookmarkEnd w:id="556"/>
      <w:bookmarkEnd w:id="557"/>
      <w:bookmarkEnd w:id="558"/>
      <w:bookmarkEnd w:id="559"/>
      <w:bookmarkEnd w:id="560"/>
      <w:bookmarkEnd w:id="561"/>
      <w:bookmarkEnd w:id="562"/>
      <w:r>
        <w:rPr>
          <w:rFonts w:ascii="Times New Roman;Times;Serif" w:hAnsi="Times New Roman;Times;Serif"/>
          <w:b w:val="false"/>
          <w:i w:val="false"/>
          <w:caps w:val="false"/>
          <w:smallCaps w:val="false"/>
          <w:sz w:val="20"/>
        </w:rPr>
        <w:t>916 shares of Company common stock to each of Sam Lai, Maggie Yu, Michael Lenner, Douglas Branch, and Alan Gao, with a fair market value of $</w:t>
      </w:r>
      <w:bookmarkStart w:id="563" w:name="xdx_901_eus-gaap--SharesIssuedPricePerSh"/>
      <w:bookmarkStart w:id="564" w:name="xdx_906_eus-gaap--SharesIssuedPricePerSh"/>
      <w:bookmarkStart w:id="565" w:name="xdx_906_eus-gaap--SharesIssuedPricePerSh"/>
      <w:bookmarkStart w:id="566" w:name="xdx_905_eus-gaap--SharesIssuedPricePerSh"/>
      <w:bookmarkStart w:id="567" w:name="xdx_900_eus-gaap--SharesIssuedPricePerSh"/>
      <w:bookmarkEnd w:id="563"/>
      <w:bookmarkEnd w:id="564"/>
      <w:bookmarkEnd w:id="565"/>
      <w:bookmarkEnd w:id="566"/>
      <w:bookmarkEnd w:id="567"/>
      <w:r>
        <w:rPr>
          <w:rFonts w:ascii="Times New Roman;Times;Serif" w:hAnsi="Times New Roman;Times;Serif"/>
          <w:b w:val="false"/>
          <w:i w:val="false"/>
          <w:caps w:val="false"/>
          <w:smallCaps w:val="false"/>
          <w:sz w:val="20"/>
        </w:rPr>
        <w:t>3.2745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2022, the Company issued and vested </w:t>
      </w:r>
      <w:bookmarkStart w:id="568" w:name="xdx_90B_eus-gaap--ShareBasedCompensation"/>
      <w:bookmarkStart w:id="569" w:name="xdx_903_eus-gaap--ShareBasedCompensation"/>
      <w:bookmarkStart w:id="570" w:name="xdx_90E_eus-gaap--ShareBasedCompensation"/>
      <w:bookmarkStart w:id="571" w:name="xdx_905_eus-gaap--ShareBasedCompensation"/>
      <w:bookmarkStart w:id="572" w:name="xdx_904_eus-gaap--ShareBasedCompensation"/>
      <w:bookmarkStart w:id="573" w:name="xdx_905_eus-gaap--StockIssuedDuringPerio"/>
      <w:bookmarkStart w:id="574" w:name="xdx_90A_eus-gaap--StockIssuedDuringPerio"/>
      <w:bookmarkStart w:id="575" w:name="xdx_903_eus-gaap--StockIssuedDuringPerio"/>
      <w:bookmarkStart w:id="576" w:name="xdx_903_eus-gaap--StockIssuedDuringPerio"/>
      <w:bookmarkStart w:id="577" w:name="xdx_90E_eus-gaap--StockIssuedDuringPerio"/>
      <w:bookmarkEnd w:id="568"/>
      <w:bookmarkEnd w:id="569"/>
      <w:bookmarkEnd w:id="570"/>
      <w:bookmarkEnd w:id="571"/>
      <w:bookmarkEnd w:id="572"/>
      <w:bookmarkEnd w:id="573"/>
      <w:bookmarkEnd w:id="574"/>
      <w:bookmarkEnd w:id="575"/>
      <w:bookmarkEnd w:id="576"/>
      <w:bookmarkEnd w:id="577"/>
      <w:r>
        <w:rPr>
          <w:rFonts w:ascii="Times New Roman;Times;Serif" w:hAnsi="Times New Roman;Times;Serif"/>
          <w:b w:val="false"/>
          <w:i w:val="false"/>
          <w:caps w:val="false"/>
          <w:smallCaps w:val="false"/>
          <w:sz w:val="20"/>
        </w:rPr>
        <w:t>1,049 shares of Company common stock to each of Sam Lai, Maggie Yu, Michael Lenner, Douglas Branch, and Alan Gao, with a fair market value of $</w:t>
      </w:r>
      <w:bookmarkStart w:id="578" w:name="xdx_906_eus-gaap--SharesIssuedPricePerSh"/>
      <w:bookmarkStart w:id="579" w:name="xdx_90E_eus-gaap--SharesIssuedPricePerSh"/>
      <w:bookmarkStart w:id="580" w:name="xdx_90D_eus-gaap--SharesIssuedPricePerSh"/>
      <w:bookmarkStart w:id="581" w:name="xdx_90F_eus-gaap--SharesIssuedPricePerSh"/>
      <w:bookmarkStart w:id="582" w:name="xdx_905_eus-gaap--SharesIssuedPricePerSh"/>
      <w:bookmarkEnd w:id="578"/>
      <w:bookmarkEnd w:id="579"/>
      <w:bookmarkEnd w:id="580"/>
      <w:bookmarkEnd w:id="581"/>
      <w:bookmarkEnd w:id="582"/>
      <w:r>
        <w:rPr>
          <w:rFonts w:ascii="Times New Roman;Times;Serif" w:hAnsi="Times New Roman;Times;Serif"/>
          <w:b w:val="false"/>
          <w:i w:val="false"/>
          <w:caps w:val="false"/>
          <w:smallCaps w:val="false"/>
          <w:sz w:val="20"/>
        </w:rPr>
        <w:t>2.8605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2022, the Company issued and vested </w:t>
      </w:r>
      <w:bookmarkStart w:id="583" w:name="xdx_907_eus-gaap--ShareBasedCompensation"/>
      <w:bookmarkStart w:id="584" w:name="xdx_90C_eus-gaap--ShareBasedCompensation"/>
      <w:bookmarkStart w:id="585" w:name="xdx_907_eus-gaap--ShareBasedCompensation"/>
      <w:bookmarkStart w:id="586" w:name="xdx_90A_eus-gaap--ShareBasedCompensation"/>
      <w:bookmarkStart w:id="587" w:name="xdx_90C_eus-gaap--ShareBasedCompensation"/>
      <w:bookmarkStart w:id="588" w:name="xdx_900_eus-gaap--StockIssuedDuringPerio"/>
      <w:bookmarkStart w:id="589" w:name="xdx_909_eus-gaap--StockIssuedDuringPerio"/>
      <w:bookmarkStart w:id="590" w:name="xdx_905_eus-gaap--StockIssuedDuringPerio"/>
      <w:bookmarkStart w:id="591" w:name="xdx_909_eus-gaap--StockIssuedDuringPerio"/>
      <w:bookmarkStart w:id="592" w:name="xdx_901_eus-gaap--StockIssuedDuringPerio"/>
      <w:bookmarkEnd w:id="583"/>
      <w:bookmarkEnd w:id="584"/>
      <w:bookmarkEnd w:id="585"/>
      <w:bookmarkEnd w:id="586"/>
      <w:bookmarkEnd w:id="587"/>
      <w:bookmarkEnd w:id="588"/>
      <w:bookmarkEnd w:id="589"/>
      <w:bookmarkEnd w:id="590"/>
      <w:bookmarkEnd w:id="591"/>
      <w:bookmarkEnd w:id="592"/>
      <w:r>
        <w:rPr>
          <w:rFonts w:ascii="Times New Roman;Times;Serif" w:hAnsi="Times New Roman;Times;Serif"/>
          <w:b w:val="false"/>
          <w:i w:val="false"/>
          <w:caps w:val="false"/>
          <w:smallCaps w:val="false"/>
          <w:sz w:val="20"/>
        </w:rPr>
        <w:t>1,050 shares of Company common stock to each of Sam Lai, Maggie Yu, Michael Lenner, Douglas Branch, and Alan Gao, with a fair market value of $</w:t>
      </w:r>
      <w:bookmarkStart w:id="593" w:name="xdx_906_eus-gaap--SharesIssuedPricePerSh"/>
      <w:bookmarkStart w:id="594" w:name="xdx_903_eus-gaap--SharesIssuedPricePerSh"/>
      <w:bookmarkStart w:id="595" w:name="xdx_90D_eus-gaap--SharesIssuedPricePerSh"/>
      <w:bookmarkStart w:id="596" w:name="xdx_904_eus-gaap--SharesIssuedPricePerSh"/>
      <w:bookmarkStart w:id="597" w:name="xdx_90A_eus-gaap--SharesIssuedPricePerSh"/>
      <w:bookmarkEnd w:id="593"/>
      <w:bookmarkEnd w:id="594"/>
      <w:bookmarkEnd w:id="595"/>
      <w:bookmarkEnd w:id="596"/>
      <w:bookmarkEnd w:id="597"/>
      <w:r>
        <w:rPr>
          <w:rFonts w:ascii="Times New Roman;Times;Serif" w:hAnsi="Times New Roman;Times;Serif"/>
          <w:b w:val="false"/>
          <w:i w:val="false"/>
          <w:caps w:val="false"/>
          <w:smallCaps w:val="false"/>
          <w:sz w:val="20"/>
        </w:rPr>
        <w:t>2.8565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11, 2022, we closed our initial public offering of </w:t>
      </w:r>
      <w:bookmarkStart w:id="598" w:name="xdx_90D_eus-gaap--StockIssuedDuringPerio"/>
      <w:bookmarkEnd w:id="598"/>
      <w:r>
        <w:rPr>
          <w:rFonts w:ascii="Times New Roman;Times;Serif" w:hAnsi="Times New Roman;Times;Serif"/>
          <w:b w:val="false"/>
          <w:i w:val="false"/>
          <w:caps w:val="false"/>
          <w:smallCaps w:val="false"/>
          <w:sz w:val="20"/>
        </w:rPr>
        <w:t>1,725,000 shares of common stock, which included the full exercise of the underwriter’s over-allotment option, at a public offering price of $</w:t>
      </w:r>
      <w:bookmarkStart w:id="599" w:name="xdx_904_eus-gaap--SharesIssuedPricePerSh"/>
      <w:bookmarkEnd w:id="599"/>
      <w:r>
        <w:rPr>
          <w:rFonts w:ascii="Times New Roman;Times;Serif" w:hAnsi="Times New Roman;Times;Serif"/>
          <w:b w:val="false"/>
          <w:i w:val="false"/>
          <w:caps w:val="false"/>
          <w:smallCaps w:val="false"/>
          <w:sz w:val="20"/>
        </w:rPr>
        <w:t>4.00 per share, for aggregate gross proceeds of $</w:t>
      </w:r>
      <w:bookmarkStart w:id="600" w:name="xdx_908_ecustom--GrossProceedsFromIssuan"/>
      <w:bookmarkEnd w:id="600"/>
      <w:r>
        <w:rPr>
          <w:rFonts w:ascii="Times New Roman;Times;Serif" w:hAnsi="Times New Roman;Times;Serif"/>
          <w:b w:val="false"/>
          <w:i w:val="false"/>
          <w:caps w:val="false"/>
          <w:smallCaps w:val="false"/>
          <w:sz w:val="20"/>
        </w:rPr>
        <w:t>6,900,000, prior to deducting underwriting discounts, commissions, and other offering expenses. Our common stock began trading on The Nasdaq Capital Market on January 7, 2022, under the symbol “HOUR”. EF Hutton, division of Benchmark Investments, LLC (“EF Hutton”), acted as sole book-running manager for the offering. The net proceeds of the offering, after deducting expenses of $</w:t>
      </w:r>
      <w:bookmarkStart w:id="601" w:name="xdx_907_eus-gaap--PaymentsOfStockIssuanc"/>
      <w:bookmarkEnd w:id="601"/>
      <w:r>
        <w:rPr>
          <w:rFonts w:ascii="Times New Roman;Times;Serif" w:hAnsi="Times New Roman;Times;Serif"/>
          <w:b w:val="false"/>
          <w:i w:val="false"/>
          <w:caps w:val="false"/>
          <w:smallCaps w:val="false"/>
          <w:sz w:val="20"/>
        </w:rPr>
        <w:t>743,640, were $</w:t>
      </w:r>
      <w:bookmarkStart w:id="602" w:name="xdx_907_eus-gaap--ProceedsFromIssuanceIn"/>
      <w:bookmarkEnd w:id="602"/>
      <w:r>
        <w:rPr>
          <w:rFonts w:ascii="Times New Roman;Times;Serif" w:hAnsi="Times New Roman;Times;Serif"/>
          <w:b w:val="false"/>
          <w:i w:val="false"/>
          <w:caps w:val="false"/>
          <w:smallCaps w:val="false"/>
          <w:sz w:val="20"/>
        </w:rPr>
        <w:t xml:space="preserve">6,156,360. Meanwhile, other costs incurred in the IPO totaled </w:t>
      </w:r>
      <w:bookmarkStart w:id="603" w:name="xdx_908_eus-gaap--OtherExpenses_c2022011"/>
      <w:bookmarkEnd w:id="603"/>
      <w:r>
        <w:rPr>
          <w:rFonts w:ascii="Times New Roman;Times;Serif" w:hAnsi="Times New Roman;Times;Serif"/>
          <w:b w:val="false"/>
          <w:i w:val="false"/>
          <w:caps w:val="false"/>
          <w:smallCaps w:val="false"/>
          <w:sz w:val="20"/>
        </w:rPr>
        <w:t>576,168, the main nature of which was professional fees. As a result, common stock increased by $</w:t>
      </w:r>
      <w:bookmarkStart w:id="604" w:name="xdx_90D_eus-gaap--AdjustmentsToAdditiona"/>
      <w:bookmarkEnd w:id="604"/>
      <w:r>
        <w:rPr>
          <w:rFonts w:ascii="Times New Roman;Times;Serif" w:hAnsi="Times New Roman;Times;Serif"/>
          <w:b w:val="false"/>
          <w:i w:val="false"/>
          <w:caps w:val="false"/>
          <w:smallCaps w:val="false"/>
          <w:sz w:val="20"/>
        </w:rPr>
        <w:t>173, and additional paid-in capital increased by $</w:t>
      </w:r>
      <w:bookmarkStart w:id="605" w:name="xdx_904_eus-gaap--StockIssuedDuringPerio"/>
      <w:bookmarkEnd w:id="605"/>
      <w:r>
        <w:rPr>
          <w:rFonts w:ascii="Times New Roman;Times;Serif" w:hAnsi="Times New Roman;Times;Serif"/>
          <w:b w:val="false"/>
          <w:i w:val="false"/>
          <w:caps w:val="false"/>
          <w:smallCaps w:val="false"/>
          <w:sz w:val="20"/>
        </w:rPr>
        <w:t>5,580,020.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606" w:name="xdx_801_eus-gaap--CommitmentsAndContinge"/>
      <w:bookmarkEnd w:id="606"/>
      <w:r>
        <w:rPr>
          <w:rFonts w:ascii="Times New Roman;Times;Serif" w:hAnsi="Times New Roman;Times;Serif"/>
          <w:b/>
          <w:i w:val="false"/>
          <w:caps w:val="false"/>
          <w:smallCaps w:val="false"/>
          <w:sz w:val="20"/>
        </w:rPr>
        <w:t xml:space="preserve">NOTE 15 - </w:t>
      </w:r>
      <w:bookmarkStart w:id="607" w:name="xdx_824_zMGwQ3RP6Zvg"/>
      <w:bookmarkEnd w:id="607"/>
      <w:r>
        <w:rPr>
          <w:rFonts w:ascii="Times New Roman;Times;Serif" w:hAnsi="Times New Roman;Times;Serif"/>
          <w:b/>
          <w:i w:val="false"/>
          <w:caps w:val="false"/>
          <w:smallCaps w:val="false"/>
          <w:sz w:val="20"/>
        </w:rPr>
        <w:t>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had no material or significant commitments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the Company is subject to various litigation and other claims in the normal course of business. The Company establishes liabilities in connection with legal actions that management deems to be probable and estimable. As of December 31, 2022 and 2021, the Company had no pending legal proceedings. No amounts have been accrued in the consolidated financial statements with respect to any such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Pandemic - In March 2020, the World Health Organization recognized the novel strain of coronavirus (COVID-19) as a pandemic. The COVID-19 outbreak has severely restricted the level of economic activity around the world. In response to this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The Company’s services, operating results and financial performance could be adversely affected by the overall impacts of the pandemic. It is expected that COVID-19 might have some impact, though it is not anticipated to be significant.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608" w:name="xdx_801_eus-gaap--SubsequentEventsTextBl"/>
      <w:bookmarkEnd w:id="608"/>
      <w:r>
        <w:rPr>
          <w:rFonts w:ascii="Times New Roman;Times;Serif" w:hAnsi="Times New Roman;Times;Serif"/>
          <w:b/>
          <w:i w:val="false"/>
          <w:caps w:val="false"/>
          <w:smallCaps w:val="false"/>
          <w:sz w:val="20"/>
        </w:rPr>
        <w:t xml:space="preserve">NOTE 16 - </w:t>
      </w:r>
      <w:bookmarkStart w:id="609" w:name="xdx_822_zrRC1iUhtSbh"/>
      <w:bookmarkEnd w:id="609"/>
      <w:r>
        <w:rPr>
          <w:rFonts w:ascii="Times New Roman;Times;Serif" w:hAnsi="Times New Roman;Times;Serif"/>
          <w:b/>
          <w:i w:val="false"/>
          <w:caps w:val="false"/>
          <w:smallCaps w:val="false"/>
          <w:sz w:val="20"/>
        </w:rPr>
        <w:t>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4, 2023, the Company issued </w:t>
      </w:r>
      <w:bookmarkStart w:id="610" w:name="xdx_909_eus-gaap--StockIssuedDuringPerio"/>
      <w:bookmarkStart w:id="611" w:name="xdx_900_eus-gaap--StockIssuedDuringPerio"/>
      <w:bookmarkStart w:id="612" w:name="xdx_907_eus-gaap--StockIssuedDuringPerio"/>
      <w:bookmarkStart w:id="613" w:name="xdx_90D_eus-gaap--StockIssuedDuringPerio"/>
      <w:bookmarkStart w:id="614" w:name="xdx_901_eus-gaap--StockIssuedDuringPerio"/>
      <w:bookmarkEnd w:id="610"/>
      <w:bookmarkEnd w:id="611"/>
      <w:bookmarkEnd w:id="612"/>
      <w:bookmarkEnd w:id="613"/>
      <w:bookmarkEnd w:id="614"/>
      <w:r>
        <w:rPr>
          <w:rFonts w:ascii="Times New Roman;Times;Serif" w:hAnsi="Times New Roman;Times;Serif"/>
          <w:b w:val="false"/>
          <w:i w:val="false"/>
          <w:caps w:val="false"/>
          <w:smallCaps w:val="false"/>
          <w:sz w:val="20"/>
        </w:rPr>
        <w:t>1,001 shares of Company common stock to each of Sam Lai, Maggie Yu, Michael Lenner, Douglas Branch, and Alan Gao, with a fair market value of $</w:t>
      </w:r>
      <w:bookmarkStart w:id="615" w:name="xdx_90E_eus-gaap--SharesIssuedPricePerSh"/>
      <w:bookmarkStart w:id="616" w:name="xdx_90E_eus-gaap--SharesIssuedPricePerSh"/>
      <w:bookmarkStart w:id="617" w:name="xdx_907_eus-gaap--SharesIssuedPricePerSh"/>
      <w:bookmarkStart w:id="618" w:name="xdx_901_eus-gaap--SharesIssuedPricePerSh"/>
      <w:bookmarkStart w:id="619" w:name="xdx_90F_eus-gaap--SharesIssuedPricePerSh"/>
      <w:bookmarkEnd w:id="615"/>
      <w:bookmarkEnd w:id="616"/>
      <w:bookmarkEnd w:id="617"/>
      <w:bookmarkEnd w:id="618"/>
      <w:bookmarkEnd w:id="619"/>
      <w:r>
        <w:rPr>
          <w:rFonts w:ascii="Times New Roman;Times;Serif" w:hAnsi="Times New Roman;Times;Serif"/>
          <w:b w:val="false"/>
          <w:i w:val="false"/>
          <w:caps w:val="false"/>
          <w:smallCaps w:val="false"/>
          <w:sz w:val="20"/>
        </w:rPr>
        <w:t>2.9985 per share as compensation for the past services as executives or directors to the Company pursuant to the terms of their respective Executive Employment Agreements or Director Agreements with the Company.</w:t>
      </w:r>
    </w:p>
    <w:p>
      <w:pPr>
        <w:pStyle w:val="TextBody"/>
        <w:spacing w:before="0" w:after="0"/>
        <w:ind w:left="0" w:right="0" w:hanging="0"/>
        <w:jc w:val="both"/>
        <w:rPr>
          <w:caps w:val="false"/>
          <w:smallCaps w:val="false"/>
        </w:rPr>
      </w:pPr>
      <w:bookmarkStart w:id="620" w:name="xdx_819_zud4Hu5chiM9"/>
      <w:bookmarkEnd w:id="620"/>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F-18</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21" w:name="a_001"/>
      <w:bookmarkEnd w:id="621"/>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7065" w:type="dxa"/>
        <w:jc w:val="left"/>
        <w:tblInd w:w="0" w:type="dxa"/>
        <w:tblCellMar>
          <w:top w:w="0" w:type="dxa"/>
          <w:left w:w="0" w:type="dxa"/>
          <w:bottom w:w="0" w:type="dxa"/>
          <w:right w:w="0" w:type="dxa"/>
        </w:tblCellMar>
      </w:tblPr>
      <w:tblGrid>
        <w:gridCol w:w="1910"/>
        <w:gridCol w:w="320"/>
        <w:gridCol w:w="4835"/>
      </w:tblGrid>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515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483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31, 2023</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4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4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22" w:name="poa_001"/>
      <w:bookmarkEnd w:id="622"/>
      <w:r>
        <w:rPr>
          <w:rFonts w:ascii="Times New Roman;Times;Serif" w:hAnsi="Times New Roman;Times;Serif"/>
          <w:b/>
          <w:i w:val="false"/>
          <w:caps w:val="false"/>
          <w:smallCaps w:val="false"/>
          <w:sz w:val="20"/>
        </w:rPr>
        <w:t>POWER OF ATTORNEY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appoints Sam Lai as attorney-in-fact with full power of substitution to execute in the name and on behalf of the registrant and each such person, individually and in each capacity stated below, one or more amendments to the annual report on Form 10-K, which amendments may make such changes in the report as the attorney-in-fact acting deems appropriate and to file any such amendment to the annual report on Form 10-K with the Securities and Exchange Commission. 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22"/>
        <w:gridCol w:w="60"/>
        <w:gridCol w:w="7031"/>
        <w:gridCol w:w="60"/>
        <w:gridCol w:w="1132"/>
      </w:tblGrid>
      <w:tr>
        <w:trPr/>
        <w:tc>
          <w:tcPr>
            <w:tcW w:w="1922" w:type="dxa"/>
            <w:tcBorders>
              <w:bottom w:val="single" w:sz="12" w:space="0" w:color="000000"/>
            </w:tcBorders>
            <w:shd w:fill="auto" w:val="clear"/>
            <w:vAlign w:val="center"/>
          </w:tcPr>
          <w:p>
            <w:pPr>
              <w:pStyle w:val="TableContents"/>
              <w:spacing w:before="0" w:after="283"/>
              <w:rPr>
                <w:b/>
                <w:sz w:val="20"/>
              </w:rPr>
            </w:pPr>
            <w:r>
              <w:rPr>
                <w:b/>
                <w:sz w:val="20"/>
              </w:rPr>
              <w:t>Signature</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bottom w:val="single" w:sz="12" w:space="0" w:color="000000"/>
            </w:tcBorders>
            <w:shd w:fill="auto" w:val="clear"/>
            <w:vAlign w:val="center"/>
          </w:tcPr>
          <w:p>
            <w:pPr>
              <w:pStyle w:val="TableContents"/>
              <w:spacing w:before="0" w:after="283"/>
              <w:jc w:val="both"/>
              <w:rPr>
                <w:b/>
                <w:sz w:val="20"/>
              </w:rPr>
            </w:pPr>
            <w:r>
              <w:rPr>
                <w:b/>
                <w:sz w:val="20"/>
              </w:rPr>
              <w:t>Title</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bottom w:val="single" w:sz="12" w:space="0" w:color="000000"/>
            </w:tcBorders>
            <w:shd w:fill="auto" w:val="clear"/>
            <w:vAlign w:val="center"/>
          </w:tcPr>
          <w:p>
            <w:pPr>
              <w:pStyle w:val="TableContents"/>
              <w:spacing w:before="0" w:after="283"/>
              <w:jc w:val="both"/>
              <w:rPr>
                <w:b/>
                <w:sz w:val="20"/>
              </w:rPr>
            </w:pPr>
            <w:r>
              <w:rPr>
                <w:b/>
                <w:sz w:val="20"/>
              </w:rPr>
              <w:t>Date</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i/>
                <w:sz w:val="20"/>
              </w:rPr>
            </w:pPr>
            <w:r>
              <w:rPr>
                <w:i/>
                <w:sz w:val="20"/>
              </w:rPr>
              <w:t>/s/ Sam Lai</w:t>
            </w:r>
          </w:p>
        </w:tc>
        <w:tc>
          <w:tcPr>
            <w:tcW w:w="60" w:type="dxa"/>
            <w:tcBorders/>
            <w:shd w:fill="auto" w:val="clear"/>
            <w:tcMar>
              <w:bottom w:w="0" w:type="dxa"/>
            </w:tcMar>
            <w:vAlign w:val="center"/>
          </w:tcPr>
          <w:p>
            <w:pPr>
              <w:pStyle w:val="TableContents"/>
              <w:spacing w:before="0" w:after="283"/>
              <w:rPr/>
            </w:pPr>
            <w:r>
              <w:rPr/>
              <w:t> </w:t>
            </w:r>
          </w:p>
        </w:tc>
        <w:tc>
          <w:tcPr>
            <w:tcW w:w="7031" w:type="dxa"/>
            <w:tcBorders/>
            <w:shd w:fill="auto" w:val="clear"/>
            <w:tcMar>
              <w:bottom w:w="0" w:type="dxa"/>
            </w:tcMar>
            <w:vAlign w:val="center"/>
          </w:tcPr>
          <w:p>
            <w:pPr>
              <w:pStyle w:val="TableContents"/>
              <w:spacing w:before="0" w:after="283"/>
              <w:rPr>
                <w:sz w:val="20"/>
              </w:rPr>
            </w:pPr>
            <w:r>
              <w:rPr>
                <w:sz w:val="20"/>
              </w:rPr>
              <w:t>Chief Executive Officer, Interim Chief Financial Officer and Chairman of the Board (principal executive officer,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jc w:val="left"/>
              <w:rPr>
                <w:sz w:val="20"/>
              </w:rPr>
            </w:pPr>
            <w:r>
              <w:rPr>
                <w:sz w:val="20"/>
              </w:rPr>
              <w:t>Sam Lai</w:t>
            </w:r>
          </w:p>
        </w:tc>
        <w:tc>
          <w:tcPr>
            <w:tcW w:w="60" w:type="dxa"/>
            <w:tcBorders/>
            <w:shd w:fill="auto" w:val="clear"/>
            <w:tcMar>
              <w:bottom w:w="0" w:type="dxa"/>
            </w:tcMar>
            <w:vAlign w:val="center"/>
          </w:tcPr>
          <w:p>
            <w:pPr>
              <w:pStyle w:val="TableContents"/>
              <w:spacing w:before="0" w:after="283"/>
              <w:rPr/>
            </w:pPr>
            <w:r>
              <w:rPr/>
              <w:t> </w:t>
            </w:r>
          </w:p>
        </w:tc>
        <w:tc>
          <w:tcPr>
            <w:tcW w:w="7031" w:type="dxa"/>
            <w:tcBorders/>
            <w:shd w:fill="auto" w:val="clear"/>
            <w:tcMar>
              <w:bottom w:w="0" w:type="dxa"/>
            </w:tcMar>
            <w:vAlign w:val="center"/>
          </w:tcPr>
          <w:p>
            <w:pPr>
              <w:pStyle w:val="TableContents"/>
              <w:spacing w:before="0" w:after="283"/>
              <w:rPr/>
            </w:pPr>
            <w:r>
              <w:rPr/>
              <w:t>principal financial officer and principal accounting officer)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i/>
                <w:sz w:val="20"/>
              </w:rPr>
            </w:pPr>
            <w:r>
              <w:rPr>
                <w:i/>
                <w:sz w:val="20"/>
              </w:rPr>
              <w:t>/s/ Sau Kuen (Maggie) Yu</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sz w:val="20"/>
              </w:rPr>
            </w:pPr>
            <w:r>
              <w:rPr>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rPr>
                <w:sz w:val="20"/>
              </w:rPr>
            </w:pPr>
            <w:r>
              <w:rPr>
                <w:sz w:val="20"/>
              </w:rPr>
              <w:t>Sau Kuen (Maggie) Yu</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i/>
                <w:sz w:val="20"/>
              </w:rPr>
            </w:pPr>
            <w:r>
              <w:rPr>
                <w:i/>
                <w:sz w:val="20"/>
              </w:rPr>
              <w:t>/s/ Douglas Branch</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sz w:val="20"/>
              </w:rPr>
            </w:pPr>
            <w:r>
              <w:rPr>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rPr>
                <w:sz w:val="20"/>
              </w:rPr>
            </w:pPr>
            <w:r>
              <w:rPr>
                <w:sz w:val="20"/>
              </w:rPr>
              <w:t>Douglas Branch</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i/>
                <w:sz w:val="20"/>
              </w:rPr>
            </w:pPr>
            <w:r>
              <w:rPr>
                <w:i/>
                <w:sz w:val="20"/>
              </w:rPr>
              <w:t>/s/ Michael Lenner</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sz w:val="20"/>
              </w:rPr>
            </w:pPr>
            <w:r>
              <w:rPr>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rPr>
                <w:sz w:val="20"/>
              </w:rPr>
            </w:pPr>
            <w:r>
              <w:rPr>
                <w:sz w:val="20"/>
              </w:rPr>
              <w:t>Michael Lenner</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i/>
                <w:sz w:val="20"/>
              </w:rPr>
            </w:pPr>
            <w:r>
              <w:rPr>
                <w:i/>
                <w:sz w:val="20"/>
              </w:rPr>
              <w:t>/s/ Minghui (Alan) Gao</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sz w:val="20"/>
              </w:rPr>
            </w:pPr>
            <w:r>
              <w:rPr>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rPr>
                <w:sz w:val="20"/>
              </w:rPr>
            </w:pPr>
            <w:r>
              <w:rPr>
                <w:sz w:val="20"/>
              </w:rPr>
              <w:t>Minghui (Alan) Gao</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r>
        <w:trPr/>
        <w:tc>
          <w:tcPr>
            <w:tcW w:w="1922" w:type="dxa"/>
            <w:tcBorders>
              <w:bottom w:val="single" w:sz="12" w:space="0" w:color="000000"/>
            </w:tcBorders>
            <w:shd w:fill="auto" w:val="clear"/>
            <w:vAlign w:val="center"/>
          </w:tcPr>
          <w:p>
            <w:pPr>
              <w:pStyle w:val="TableContents"/>
              <w:spacing w:before="0" w:after="283"/>
              <w:rPr>
                <w:sz w:val="20"/>
              </w:rPr>
            </w:pPr>
            <w:r>
              <w:rPr>
                <w:sz w:val="20"/>
              </w:rPr>
              <w:t>/</w:t>
            </w:r>
            <w:r>
              <w:rPr>
                <w:i/>
                <w:sz w:val="20"/>
              </w:rPr>
              <w:t>s/ Hilary (Hui-Chong) Bui</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sz w:val="20"/>
              </w:rPr>
            </w:pPr>
            <w:r>
              <w:rPr>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sz w:val="20"/>
              </w:rPr>
            </w:pPr>
            <w:r>
              <w:rPr>
                <w:sz w:val="20"/>
              </w:rPr>
              <w:t>March 31, 2023</w:t>
            </w:r>
          </w:p>
        </w:tc>
      </w:tr>
      <w:tr>
        <w:trPr/>
        <w:tc>
          <w:tcPr>
            <w:tcW w:w="1922" w:type="dxa"/>
            <w:tcBorders/>
            <w:shd w:fill="auto" w:val="clear"/>
            <w:tcMar>
              <w:bottom w:w="0" w:type="dxa"/>
            </w:tcMar>
            <w:vAlign w:val="center"/>
          </w:tcPr>
          <w:p>
            <w:pPr>
              <w:pStyle w:val="TableContents"/>
              <w:spacing w:before="0" w:after="283"/>
              <w:rPr>
                <w:sz w:val="20"/>
              </w:rPr>
            </w:pPr>
            <w:r>
              <w:rPr>
                <w:sz w:val="20"/>
              </w:rPr>
              <w:t>Hilary (</w:t>
            </w:r>
            <w:r>
              <w:rPr>
                <w:sz w:val="20"/>
                <w:highlight w:val="white"/>
              </w:rPr>
              <w:t xml:space="preserve">Hui-Chong) </w:t>
            </w:r>
            <w:r>
              <w:rPr>
                <w:sz w:val="20"/>
              </w:rPr>
              <w:t>Bui</w:t>
            </w:r>
          </w:p>
        </w:tc>
        <w:tc>
          <w:tcPr>
            <w:tcW w:w="60" w:type="dxa"/>
            <w:tcBorders/>
            <w:shd w:fill="auto" w:val="clear"/>
            <w:tcMar>
              <w:bottom w:w="0" w:type="dxa"/>
            </w:tcMar>
            <w:vAlign w:val="center"/>
          </w:tcPr>
          <w:p>
            <w:pPr>
              <w:pStyle w:val="TableContents"/>
              <w:spacing w:before="0" w:after="283"/>
              <w:jc w:val="both"/>
              <w:rPr/>
            </w:pPr>
            <w:r>
              <w:rPr/>
              <w:t> </w:t>
            </w:r>
          </w:p>
        </w:tc>
        <w:tc>
          <w:tcPr>
            <w:tcW w:w="703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132"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71</w:t>
            </w:r>
          </w:p>
        </w:tc>
      </w:tr>
    </w:tbl>
    <w:p>
      <w:pPr>
        <w:pStyle w:val="TextBody"/>
        <w:spacing w:before="0" w:after="0"/>
        <w:ind w:left="0" w:right="0" w:hanging="0"/>
        <w:jc w:val="center"/>
        <w:rPr>
          <w:caps w:val="false"/>
          <w:smallCaps w:val="false"/>
        </w:rPr>
      </w:pPr>
      <w:r>
        <w:br w:type="page"/>
      </w:r>
      <w:bookmarkStart w:id="623" w:name="ex21-1.htm"/>
      <w:bookmarkStart w:id="624" w:name="ksex211"/>
      <w:bookmarkEnd w:id="623"/>
      <w:bookmarkEnd w:id="62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spacing w:before="0" w:after="0"/>
        <w:ind w:left="0" w:right="0" w:hanging="0"/>
        <w:jc w:val="center"/>
        <w:rPr>
          <w:caps w:val="false"/>
          <w:smallCaps w:val="false"/>
        </w:rPr>
      </w:pPr>
      <w:r>
        <w:rPr>
          <w:caps w:val="false"/>
          <w:smallCaps w:val="false"/>
        </w:rPr>
        <w:t> </w:t>
      </w:r>
    </w:p>
    <w:tbl>
      <w:tblPr>
        <w:tblW w:w="6430" w:type="dxa"/>
        <w:jc w:val="left"/>
        <w:tblInd w:w="0" w:type="dxa"/>
        <w:tblCellMar>
          <w:top w:w="0" w:type="dxa"/>
          <w:left w:w="0" w:type="dxa"/>
          <w:bottom w:w="28" w:type="dxa"/>
          <w:right w:w="0" w:type="dxa"/>
        </w:tblCellMar>
      </w:tblPr>
      <w:tblGrid>
        <w:gridCol w:w="2435"/>
        <w:gridCol w:w="60"/>
        <w:gridCol w:w="3935"/>
      </w:tblGrid>
      <w:tr>
        <w:trPr/>
        <w:tc>
          <w:tcPr>
            <w:tcW w:w="24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9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tc>
      </w:tr>
      <w:tr>
        <w:trPr/>
        <w:tc>
          <w:tcPr>
            <w:tcW w:w="24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Flywheel Consulting Limited</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9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Kaohsiung City, Taiwan</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center"/>
        <w:rPr/>
      </w:pPr>
      <w:bookmarkStart w:id="625" w:name="ex31-1.htm"/>
      <w:bookmarkStart w:id="626" w:name="ksex311"/>
      <w:bookmarkEnd w:id="625"/>
      <w:bookmarkEnd w:id="626"/>
      <w:r>
        <w:rPr/>
        <w:t> </w:t>
      </w:r>
    </w:p>
    <w:p>
      <w:pPr>
        <w:pStyle w:val="TextBody"/>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fiscal year ended December 31, 2022 of Hour Loop,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2023</w:t>
      </w:r>
    </w:p>
    <w:p>
      <w:pPr>
        <w:pStyle w:val="TextBody"/>
        <w:spacing w:before="0" w:after="0"/>
        <w:ind w:left="0" w:right="0" w:hanging="0"/>
        <w:jc w:val="both"/>
        <w:rPr>
          <w:caps w:val="false"/>
          <w:smallCaps w:val="false"/>
        </w:rPr>
      </w:pPr>
      <w:r>
        <w:rPr>
          <w:caps w:val="false"/>
          <w:smallCaps w:val="false"/>
        </w:rPr>
        <w:t> </w:t>
      </w:r>
    </w:p>
    <w:tbl>
      <w:tblPr>
        <w:tblW w:w="7220" w:type="dxa"/>
        <w:jc w:val="left"/>
        <w:tblInd w:w="0" w:type="dxa"/>
        <w:tblCellMar>
          <w:top w:w="0" w:type="dxa"/>
          <w:left w:w="0" w:type="dxa"/>
          <w:bottom w:w="28" w:type="dxa"/>
          <w:right w:w="0" w:type="dxa"/>
        </w:tblCellMar>
      </w:tblPr>
      <w:tblGrid>
        <w:gridCol w:w="7145"/>
        <w:gridCol w:w="75"/>
      </w:tblGrid>
      <w:tr>
        <w:trPr/>
        <w:tc>
          <w:tcPr>
            <w:tcW w:w="7145" w:type="dxa"/>
            <w:tcBorders>
              <w:bottom w:val="single" w:sz="12" w:space="0" w:color="000000"/>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/s/ Sam Lai</w:t>
            </w:r>
          </w:p>
        </w:tc>
        <w:tc>
          <w:tcPr>
            <w:tcW w:w="75" w:type="dxa"/>
            <w:tcBorders/>
            <w:shd w:fill="auto" w:val="clear"/>
            <w:tcMar>
              <w:bottom w:w="0" w:type="dxa"/>
            </w:tcMar>
            <w:vAlign w:val="center"/>
          </w:tcPr>
          <w:p>
            <w:pPr>
              <w:pStyle w:val="TableContents"/>
              <w:spacing w:before="0" w:after="283"/>
              <w:rPr/>
            </w:pPr>
            <w:r>
              <w:rPr/>
              <w:t> </w:t>
            </w:r>
          </w:p>
        </w:tc>
      </w:tr>
      <w:tr>
        <w:trPr/>
        <w:tc>
          <w:tcPr>
            <w:tcW w:w="714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Sam Lai</w:t>
            </w:r>
          </w:p>
        </w:tc>
        <w:tc>
          <w:tcPr>
            <w:tcW w:w="75" w:type="dxa"/>
            <w:tcBorders/>
            <w:shd w:fill="auto" w:val="clear"/>
            <w:tcMar>
              <w:bottom w:w="0" w:type="dxa"/>
            </w:tcMar>
            <w:vAlign w:val="center"/>
          </w:tcPr>
          <w:p>
            <w:pPr>
              <w:pStyle w:val="TableContents"/>
              <w:spacing w:before="0" w:after="283"/>
              <w:rPr/>
            </w:pPr>
            <w:r>
              <w:rPr/>
              <w:t> </w:t>
            </w:r>
          </w:p>
        </w:tc>
      </w:tr>
      <w:tr>
        <w:trPr/>
        <w:tc>
          <w:tcPr>
            <w:tcW w:w="7145"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Executive Officer and Interim Chief Financial Officer (principal executive officer)</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br w:type="page"/>
      </w:r>
      <w:bookmarkStart w:id="627" w:name="ex31-2.htm"/>
      <w:bookmarkStart w:id="628" w:name="ksex312"/>
      <w:bookmarkEnd w:id="627"/>
      <w:bookmarkEnd w:id="628"/>
      <w:r>
        <w:rPr>
          <w:caps w:val="false"/>
          <w:smallCaps w:val="false"/>
        </w:rPr>
        <w:t> </w:t>
      </w:r>
    </w:p>
    <w:p>
      <w:pPr>
        <w:pStyle w:val="TextBody"/>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fiscal year ended December 31, 2022 of Hour Loop,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2023</w:t>
      </w:r>
    </w:p>
    <w:p>
      <w:pPr>
        <w:pStyle w:val="TextBody"/>
        <w:spacing w:before="0" w:after="0"/>
        <w:ind w:left="0" w:right="0" w:hanging="0"/>
        <w:jc w:val="both"/>
        <w:rPr>
          <w:caps w:val="false"/>
          <w:smallCaps w:val="false"/>
        </w:rPr>
      </w:pPr>
      <w:r>
        <w:rPr>
          <w:caps w:val="false"/>
          <w:smallCaps w:val="false"/>
        </w:rPr>
        <w:t> </w:t>
      </w:r>
    </w:p>
    <w:tbl>
      <w:tblPr>
        <w:tblW w:w="7145" w:type="dxa"/>
        <w:jc w:val="left"/>
        <w:tblInd w:w="0" w:type="dxa"/>
        <w:tblCellMar>
          <w:top w:w="0" w:type="dxa"/>
          <w:left w:w="0" w:type="dxa"/>
          <w:bottom w:w="28" w:type="dxa"/>
          <w:right w:w="0" w:type="dxa"/>
        </w:tblCellMar>
      </w:tblPr>
      <w:tblGrid>
        <w:gridCol w:w="7070"/>
        <w:gridCol w:w="75"/>
      </w:tblGrid>
      <w:tr>
        <w:trPr/>
        <w:tc>
          <w:tcPr>
            <w:tcW w:w="707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70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707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 (principal financial officer)</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jc w:val="center"/>
        <w:rPr/>
      </w:pPr>
      <w:bookmarkStart w:id="629" w:name="ex32-1.htm"/>
      <w:bookmarkStart w:id="630" w:name="ksex321"/>
      <w:bookmarkEnd w:id="629"/>
      <w:bookmarkEnd w:id="630"/>
      <w:r>
        <w:rPr/>
        <w:t> </w:t>
      </w:r>
    </w:p>
    <w:p>
      <w:pPr>
        <w:pStyle w:val="TextBody"/>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Hour Loop, Inc. (the “Company”) for the fiscal year ended December 31, 2022 as filed with the Securities and Exchange Commission (the “Report”), I, Sam Lai, Chief Executive Officer and Interim Chief Financial Officer of the Company, certify, pursuant to 18 U.S.C. Section 1350, as adopted pursuant to Section 906 of the Sarbanes-Oxley Act of 2002, that to the best of my knowledge:</w:t>
      </w:r>
    </w:p>
    <w:p>
      <w:pPr>
        <w:pStyle w:val="TextBody"/>
        <w:spacing w:before="0" w:after="0"/>
        <w:ind w:left="0" w:right="0" w:firstLine="836"/>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0" w:right="0" w:firstLine="836"/>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spacing w:before="0" w:after="0"/>
        <w:ind w:left="0" w:right="0" w:firstLine="836"/>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31, 2023</w:t>
            </w:r>
          </w:p>
        </w:tc>
        <w:tc>
          <w:tcPr>
            <w:tcW w:w="85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/s/ Sam Lai</w:t>
            </w:r>
          </w:p>
        </w:tc>
      </w:tr>
      <w:tr>
        <w:trPr/>
        <w:tc>
          <w:tcPr>
            <w:tcW w:w="1645"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645"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 and Interim Chief Financial Officer (principal executive officer and principal financial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certification accompanies this Annual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74875/000149315221026557/ex3-1.htm" TargetMode="External"/><Relationship Id="rId5" Type="http://schemas.openxmlformats.org/officeDocument/2006/relationships/hyperlink" Target="https://www.sec.gov/Archives/edgar/data/1874875/000149315221026557/ex3-2.htm" TargetMode="External"/><Relationship Id="rId6" Type="http://schemas.openxmlformats.org/officeDocument/2006/relationships/hyperlink" Target="https://www.sec.gov/Archives/edgar/data/1874875/000149315221026557/ex3-3.htm" TargetMode="External"/><Relationship Id="rId7" Type="http://schemas.openxmlformats.org/officeDocument/2006/relationships/hyperlink" Target="https://www.sec.gov/Archives/edgar/data/1874875/000149315221026557/ex3-4.htm" TargetMode="External"/><Relationship Id="rId8" Type="http://schemas.openxmlformats.org/officeDocument/2006/relationships/hyperlink" Target="https://www.sec.gov/Archives/edgar/data/1874875/000149315221031648/ex3-5.htm" TargetMode="External"/><Relationship Id="rId9" Type="http://schemas.openxmlformats.org/officeDocument/2006/relationships/hyperlink" Target="https://www.sec.gov/Archives/edgar/data/1874875/000149315221026557/ex3-5.htm" TargetMode="External"/><Relationship Id="rId10" Type="http://schemas.openxmlformats.org/officeDocument/2006/relationships/hyperlink" Target="https://www.sec.gov/Archives/edgar/data/1874875/000149315221031648/ex3-7.htm" TargetMode="External"/><Relationship Id="rId11" Type="http://schemas.openxmlformats.org/officeDocument/2006/relationships/hyperlink" Target="https://www.sec.gov/Archives/edgar/data/1874875/000149315221026557/ex10-1.htm" TargetMode="External"/><Relationship Id="rId12" Type="http://schemas.openxmlformats.org/officeDocument/2006/relationships/hyperlink" Target="https://www.sec.gov/Archives/edgar/data/1874875/000149315221026557/ex10-2.htm" TargetMode="External"/><Relationship Id="rId13" Type="http://schemas.openxmlformats.org/officeDocument/2006/relationships/hyperlink" Target="https://www.sec.gov/Archives/edgar/data/1874875/000149315221026557/ex10-4.htm" TargetMode="External"/><Relationship Id="rId14" Type="http://schemas.openxmlformats.org/officeDocument/2006/relationships/hyperlink" Target="https://www.sec.gov/Archives/edgar/data/1874875/000149315221026557/ex10-5.htm" TargetMode="External"/><Relationship Id="rId15" Type="http://schemas.openxmlformats.org/officeDocument/2006/relationships/hyperlink" Target="https://www.sec.gov/Archives/edgar/data/1874875/000149315221026557/ex10-6.htm" TargetMode="External"/><Relationship Id="rId16" Type="http://schemas.openxmlformats.org/officeDocument/2006/relationships/hyperlink" Target="https://www.sec.gov/Archives/edgar/data/1874875/000149315221026557/ex10-7.htm" TargetMode="External"/><Relationship Id="rId17" Type="http://schemas.openxmlformats.org/officeDocument/2006/relationships/hyperlink" Target="https://www.sec.gov/Archives/edgar/data/1874875/000149315221026557/ex10-8.htm" TargetMode="External"/><Relationship Id="rId18" Type="http://schemas.openxmlformats.org/officeDocument/2006/relationships/hyperlink" Target="https://www.sec.gov/Archives/edgar/data/1874875/000149315221026557/ex10-9.htm" TargetMode="External"/><Relationship Id="rId19" Type="http://schemas.openxmlformats.org/officeDocument/2006/relationships/hyperlink" Target="https://www.sec.gov/Archives/edgar/data/1874875/000149315221026557/ex10-10.htm" TargetMode="External"/><Relationship Id="rId20" Type="http://schemas.openxmlformats.org/officeDocument/2006/relationships/hyperlink" Target="https://www.sec.gov/Archives/edgar/data/1874875/000149315221026557/ex10-11.htm" TargetMode="External"/><Relationship Id="rId21" Type="http://schemas.openxmlformats.org/officeDocument/2006/relationships/hyperlink" Target="https://www.sec.gov/Archives/edgar/data/1874875/000149315222000163/ex10-12.htm" TargetMode="External"/><Relationship Id="rId22" Type="http://schemas.openxmlformats.org/officeDocument/2006/relationships/hyperlink" Target="https://www.sec.gov/Archives/edgar/data/1874875/000149315221026557/ex10-12.htm" TargetMode="External"/><Relationship Id="rId23" Type="http://schemas.openxmlformats.org/officeDocument/2006/relationships/hyperlink" Target="https://www.sec.gov/Archives/edgar/data/1874875/000149315222002310/ex10-1.htm" TargetMode="External"/><Relationship Id="rId24" Type="http://schemas.openxmlformats.org/officeDocument/2006/relationships/hyperlink" Target="https://www.sec.gov/Archives/edgar/data/1874875/000149315222002310/ex10-2.htm" TargetMode="External"/><Relationship Id="rId25" Type="http://schemas.openxmlformats.org/officeDocument/2006/relationships/hyperlink" Target="https://www.sec.gov/Archives/edgar/data/1874875/000149315221026557/ex14-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53308</Words>
  <CharactersWithSpaces>341799</CharactersWithSpaces>
  <Paragraphs>6953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