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u w:val="single"/>
        </w:rPr>
        <w:t>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HOUR LOOP,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28" w:type="dxa"/>
          <w:right w:w="0" w:type="dxa"/>
        </w:tblCellMar>
      </w:tblPr>
      <w:tblGrid>
        <w:gridCol w:w="2165"/>
        <w:gridCol w:w="60"/>
        <w:gridCol w:w="1100"/>
        <w:gridCol w:w="60"/>
        <w:gridCol w:w="189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03"/>
            <w:bookmarkEnd w:id="6"/>
            <w:r>
              <w:rPr>
                <w:rFonts w:ascii="Times New Roman;Times;Serif" w:hAnsi="Times New Roman;Times;Serif"/>
                <w:b/>
                <w:i w:val="false"/>
                <w:caps w:val="false"/>
                <w:smallCaps w:val="false"/>
                <w:sz w:val="20"/>
              </w:rPr>
              <w:t>001-41204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47-2869399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8" w:name="xdx_908_edei--EntityAddressAddressLine1_"/>
      <w:bookmarkEnd w:id="8"/>
      <w:r>
        <w:rPr>
          <w:rFonts w:ascii="Times New Roman;Times;Serif" w:hAnsi="Times New Roman;Times;Serif"/>
          <w:b/>
          <w:i w:val="false"/>
          <w:caps w:val="false"/>
          <w:smallCaps w:val="false"/>
          <w:sz w:val="20"/>
          <w:u w:val="single"/>
        </w:rPr>
        <w:t xml:space="preserve">8201 164th Ave NE #200, </w:t>
      </w:r>
      <w:bookmarkStart w:id="9" w:name="xdx_907_edei--EntityAddressCityOrTown_c2"/>
      <w:bookmarkEnd w:id="9"/>
      <w:r>
        <w:rPr>
          <w:rFonts w:ascii="Times New Roman;Times;Serif" w:hAnsi="Times New Roman;Times;Serif"/>
          <w:b/>
          <w:i w:val="false"/>
          <w:caps w:val="false"/>
          <w:smallCaps w:val="false"/>
          <w:sz w:val="20"/>
          <w:u w:val="single"/>
        </w:rPr>
        <w:t xml:space="preserve">Redmond, </w:t>
      </w:r>
      <w:bookmarkStart w:id="10" w:name="xdx_909_edei--EntityAddressStateOrProvin"/>
      <w:bookmarkEnd w:id="10"/>
      <w:r>
        <w:rPr>
          <w:rFonts w:ascii="Times New Roman;Times;Serif" w:hAnsi="Times New Roman;Times;Serif"/>
          <w:b/>
          <w:i w:val="false"/>
          <w:caps w:val="false"/>
          <w:smallCaps w:val="false"/>
          <w:sz w:val="20"/>
          <w:u w:val="single"/>
        </w:rPr>
        <w:t xml:space="preserve">WA </w:t>
      </w:r>
      <w:bookmarkStart w:id="11" w:name="xdx_90A_edei--EntityAddressPostalZipCode"/>
      <w:bookmarkEnd w:id="11"/>
      <w:r>
        <w:rPr>
          <w:rFonts w:ascii="Times New Roman;Times;Serif" w:hAnsi="Times New Roman;Times;Serif"/>
          <w:b/>
          <w:i w:val="false"/>
          <w:caps w:val="false"/>
          <w:smallCaps w:val="false"/>
          <w:sz w:val="20"/>
          <w:u w:val="single"/>
        </w:rPr>
        <w:t>98052-7615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2" w:name="xdx_908_edei--CityAreaCode_c20260803__20"/>
      <w:bookmarkEnd w:id="12"/>
      <w:r>
        <w:rPr>
          <w:rFonts w:ascii="Times New Roman;Times;Serif" w:hAnsi="Times New Roman;Times;Serif"/>
          <w:b/>
          <w:i w:val="false"/>
          <w:caps w:val="false"/>
          <w:smallCaps w:val="false"/>
          <w:sz w:val="20"/>
          <w:u w:val="single"/>
        </w:rPr>
        <w:t xml:space="preserve">(206) </w:t>
      </w:r>
      <w:bookmarkStart w:id="13" w:name="xdx_903_edei--LocalPhoneNumber_c20260803"/>
      <w:bookmarkEnd w:id="13"/>
      <w:r>
        <w:rPr>
          <w:rFonts w:ascii="Times New Roman;Times;Serif" w:hAnsi="Times New Roman;Times;Serif"/>
          <w:b/>
          <w:i w:val="false"/>
          <w:caps w:val="false"/>
          <w:smallCaps w:val="false"/>
          <w:sz w:val="20"/>
          <w:u w:val="single"/>
        </w:rPr>
        <w:t>385-0488 ext.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608"/>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F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803"/>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60803__2"/>
            <w:bookmarkEnd w:id="19"/>
            <w:r>
              <w:rPr>
                <w:rFonts w:ascii="Times New Roman;Times;Serif" w:hAnsi="Times New Roman;Times;Serif"/>
                <w:b w:val="false"/>
                <w:i w:val="false"/>
                <w:caps w:val="false"/>
                <w:smallCaps w:val="false"/>
                <w:sz w:val="20"/>
              </w:rPr>
              <w:t>HOUR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Hour Loop, Inc. (the “Company”) held its 2026 virtual annual meeting of stockholders (the “Annual Meeting”) to vote on the following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five nominees was elected to the Company’s Board of Directors, in accordance with the voting results listed below, to serve for a term of one year, until the next annual meeting of stockholders and until their successors have been duly elected and have qualified.</w:t>
      </w:r>
    </w:p>
    <w:p>
      <w:pPr>
        <w:pStyle w:val="TextBody"/>
        <w:bidi w:val="0"/>
        <w:spacing w:before="0" w:after="0"/>
        <w:ind w:left="0" w:right="0" w:hanging="0"/>
        <w:jc w:val="center"/>
        <w:rPr>
          <w:caps w:val="false"/>
          <w:smallCaps w:val="false"/>
        </w:rPr>
      </w:pPr>
      <w:r>
        <w:rPr>
          <w:caps w:val="false"/>
          <w:smallCaps w:val="false"/>
        </w:rPr>
        <w:t> </w:t>
      </w:r>
    </w:p>
    <w:tbl>
      <w:tblPr>
        <w:tblW w:w="7195" w:type="dxa"/>
        <w:jc w:val="left"/>
        <w:tblInd w:w="0" w:type="dxa"/>
        <w:tblLayout w:type="fixed"/>
        <w:tblCellMar>
          <w:top w:w="0" w:type="dxa"/>
          <w:left w:w="0" w:type="dxa"/>
          <w:bottom w:w="28" w:type="dxa"/>
          <w:right w:w="0" w:type="dxa"/>
        </w:tblCellMar>
      </w:tblPr>
      <w:tblGrid>
        <w:gridCol w:w="2270"/>
        <w:gridCol w:w="60"/>
        <w:gridCol w:w="1100"/>
        <w:gridCol w:w="60"/>
        <w:gridCol w:w="800"/>
        <w:gridCol w:w="60"/>
        <w:gridCol w:w="815"/>
        <w:gridCol w:w="60"/>
        <w:gridCol w:w="1970"/>
      </w:tblGrid>
      <w:tr>
        <w:trPr/>
        <w:tc>
          <w:tcPr>
            <w:tcW w:w="2270" w:type="dxa"/>
            <w:tcBorders>
              <w:bottom w:val="single" w:sz="8" w:space="0" w:color="000000"/>
            </w:tcBorders>
            <w:vAlign w:val="center"/>
          </w:tcPr>
          <w:p>
            <w:pPr>
              <w:pStyle w:val="TableContents"/>
              <w:bidi w:val="0"/>
              <w:spacing w:before="0" w:after="283"/>
              <w:jc w:val="left"/>
              <w:rPr>
                <w:b/>
              </w:rPr>
            </w:pPr>
            <w:r>
              <w:rPr>
                <w:b/>
              </w:rPr>
              <w:t>Nominee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8" w:space="0" w:color="000000"/>
            </w:tcBorders>
            <w:vAlign w:val="center"/>
          </w:tcPr>
          <w:p>
            <w:pPr>
              <w:pStyle w:val="TableContents"/>
              <w:bidi w:val="0"/>
              <w:spacing w:before="0" w:after="283"/>
              <w:jc w:val="center"/>
              <w:rPr>
                <w:b/>
              </w:rPr>
            </w:pPr>
            <w:r>
              <w:rPr>
                <w:b/>
              </w:rPr>
              <w:t>Broker Non- Votes</w:t>
            </w:r>
          </w:p>
        </w:tc>
      </w:tr>
      <w:tr>
        <w:trPr/>
        <w:tc>
          <w:tcPr>
            <w:tcW w:w="2270" w:type="dxa"/>
            <w:tcBorders/>
            <w:shd w:fill="CCEEFF" w:val="clear"/>
            <w:tcMar>
              <w:bottom w:w="0" w:type="dxa"/>
            </w:tcMar>
            <w:vAlign w:val="center"/>
          </w:tcPr>
          <w:p>
            <w:pPr>
              <w:pStyle w:val="TableContents"/>
              <w:bidi w:val="0"/>
              <w:spacing w:before="0" w:after="283"/>
              <w:jc w:val="left"/>
              <w:rPr/>
            </w:pPr>
            <w:r>
              <w:rPr/>
              <w:t>Sam Lai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33,481,501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2,846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0" w:type="dxa"/>
            <w:tcBorders/>
            <w:shd w:fill="CCEEFF" w:val="clear"/>
            <w:tcMar>
              <w:bottom w:w="0" w:type="dxa"/>
            </w:tcMar>
            <w:vAlign w:val="center"/>
          </w:tcPr>
          <w:p>
            <w:pPr>
              <w:pStyle w:val="TableContents"/>
              <w:bidi w:val="0"/>
              <w:spacing w:before="0" w:after="283"/>
              <w:jc w:val="center"/>
              <w:rPr/>
            </w:pPr>
            <w:r>
              <w:rPr/>
              <w:t>722,952</w:t>
            </w:r>
          </w:p>
        </w:tc>
      </w:tr>
      <w:tr>
        <w:trPr/>
        <w:tc>
          <w:tcPr>
            <w:tcW w:w="2270" w:type="dxa"/>
            <w:tcBorders/>
            <w:shd w:fill="FFFFFF" w:val="clear"/>
            <w:tcMar>
              <w:bottom w:w="0" w:type="dxa"/>
            </w:tcMar>
            <w:vAlign w:val="center"/>
          </w:tcPr>
          <w:p>
            <w:pPr>
              <w:pStyle w:val="TableContents"/>
              <w:bidi w:val="0"/>
              <w:spacing w:before="0" w:after="283"/>
              <w:jc w:val="left"/>
              <w:rPr/>
            </w:pPr>
            <w:r>
              <w:rPr/>
              <w:t>Sau Kuen (Maggie) Yu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33,481,605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2,742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t>354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0" w:type="dxa"/>
            <w:tcBorders/>
            <w:shd w:fill="FFFFFF" w:val="clear"/>
            <w:tcMar>
              <w:bottom w:w="0" w:type="dxa"/>
            </w:tcMar>
            <w:vAlign w:val="center"/>
          </w:tcPr>
          <w:p>
            <w:pPr>
              <w:pStyle w:val="TableContents"/>
              <w:bidi w:val="0"/>
              <w:spacing w:before="0" w:after="283"/>
              <w:jc w:val="center"/>
              <w:rPr/>
            </w:pPr>
            <w:r>
              <w:rPr/>
              <w:t>722,952</w:t>
            </w:r>
          </w:p>
        </w:tc>
      </w:tr>
      <w:tr>
        <w:trPr/>
        <w:tc>
          <w:tcPr>
            <w:tcW w:w="2270" w:type="dxa"/>
            <w:tcBorders/>
            <w:shd w:fill="CCEEFF" w:val="clear"/>
            <w:tcMar>
              <w:bottom w:w="0" w:type="dxa"/>
            </w:tcMar>
            <w:vAlign w:val="center"/>
          </w:tcPr>
          <w:p>
            <w:pPr>
              <w:pStyle w:val="TableContents"/>
              <w:bidi w:val="0"/>
              <w:spacing w:before="0" w:after="283"/>
              <w:jc w:val="left"/>
              <w:rPr/>
            </w:pPr>
            <w:r>
              <w:rPr/>
              <w:t>Hillary Bui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33,482,197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2,150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0" w:type="dxa"/>
            <w:tcBorders/>
            <w:shd w:fill="CCEEFF" w:val="clear"/>
            <w:tcMar>
              <w:bottom w:w="0" w:type="dxa"/>
            </w:tcMar>
            <w:vAlign w:val="center"/>
          </w:tcPr>
          <w:p>
            <w:pPr>
              <w:pStyle w:val="TableContents"/>
              <w:bidi w:val="0"/>
              <w:spacing w:before="0" w:after="283"/>
              <w:jc w:val="center"/>
              <w:rPr/>
            </w:pPr>
            <w:r>
              <w:rPr/>
              <w:t>722,952</w:t>
            </w:r>
          </w:p>
        </w:tc>
      </w:tr>
      <w:tr>
        <w:trPr/>
        <w:tc>
          <w:tcPr>
            <w:tcW w:w="2270" w:type="dxa"/>
            <w:tcBorders/>
            <w:shd w:fill="FFFFFF" w:val="clear"/>
            <w:tcMar>
              <w:bottom w:w="0" w:type="dxa"/>
            </w:tcMar>
            <w:vAlign w:val="center"/>
          </w:tcPr>
          <w:p>
            <w:pPr>
              <w:pStyle w:val="TableContents"/>
              <w:bidi w:val="0"/>
              <w:spacing w:before="0" w:after="283"/>
              <w:jc w:val="left"/>
              <w:rPr/>
            </w:pPr>
            <w:r>
              <w:rPr/>
              <w:t>Minghui (Alan) Gao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33,482,121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2,226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t>354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0" w:type="dxa"/>
            <w:tcBorders/>
            <w:shd w:fill="FFFFFF" w:val="clear"/>
            <w:tcMar>
              <w:bottom w:w="0" w:type="dxa"/>
            </w:tcMar>
            <w:vAlign w:val="center"/>
          </w:tcPr>
          <w:p>
            <w:pPr>
              <w:pStyle w:val="TableContents"/>
              <w:bidi w:val="0"/>
              <w:spacing w:before="0" w:after="283"/>
              <w:jc w:val="center"/>
              <w:rPr/>
            </w:pPr>
            <w:r>
              <w:rPr/>
              <w:t>722,952</w:t>
            </w:r>
          </w:p>
        </w:tc>
      </w:tr>
      <w:tr>
        <w:trPr/>
        <w:tc>
          <w:tcPr>
            <w:tcW w:w="2270" w:type="dxa"/>
            <w:tcBorders/>
            <w:shd w:fill="CCEEFF" w:val="clear"/>
            <w:tcMar>
              <w:bottom w:w="0" w:type="dxa"/>
            </w:tcMar>
            <w:vAlign w:val="center"/>
          </w:tcPr>
          <w:p>
            <w:pPr>
              <w:pStyle w:val="TableContents"/>
              <w:bidi w:val="0"/>
              <w:spacing w:before="0" w:after="283"/>
              <w:jc w:val="left"/>
              <w:rPr/>
            </w:pPr>
            <w:r>
              <w:rPr/>
              <w:t xml:space="preserve">Michael Lenner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33,482,518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1,829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0" w:type="dxa"/>
            <w:tcBorders/>
            <w:shd w:fill="CCEEFF" w:val="clear"/>
            <w:tcMar>
              <w:bottom w:w="0" w:type="dxa"/>
            </w:tcMar>
            <w:vAlign w:val="center"/>
          </w:tcPr>
          <w:p>
            <w:pPr>
              <w:pStyle w:val="TableContents"/>
              <w:bidi w:val="0"/>
              <w:spacing w:before="0" w:after="283"/>
              <w:jc w:val="center"/>
              <w:rPr/>
            </w:pPr>
            <w:r>
              <w:rPr/>
              <w:t>722,952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Ratification of the Company’s Independent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ratified the appointment of HTL International, LLC as the independent auditors of the Company for the fiscal year ending December 31, 2026, in accordance with the voting results listed below.</w:t>
      </w:r>
    </w:p>
    <w:p>
      <w:pPr>
        <w:pStyle w:val="TextBody"/>
        <w:bidi w:val="0"/>
        <w:spacing w:before="0" w:after="0"/>
        <w:ind w:left="0" w:right="0" w:firstLine="720"/>
        <w:jc w:val="left"/>
        <w:rPr>
          <w:caps w:val="false"/>
          <w:smallCaps w:val="false"/>
        </w:rPr>
      </w:pPr>
      <w:r>
        <w:rPr>
          <w:caps w:val="false"/>
          <w:smallCaps w:val="false"/>
        </w:rPr>
        <w:t> </w:t>
      </w:r>
    </w:p>
    <w:tbl>
      <w:tblPr>
        <w:tblW w:w="4819" w:type="dxa"/>
        <w:jc w:val="left"/>
        <w:tblInd w:w="0" w:type="dxa"/>
        <w:tblLayout w:type="fixed"/>
        <w:tblCellMar>
          <w:top w:w="0" w:type="dxa"/>
          <w:left w:w="0" w:type="dxa"/>
          <w:bottom w:w="28" w:type="dxa"/>
          <w:right w:w="0" w:type="dxa"/>
        </w:tblCellMar>
      </w:tblPr>
      <w:tblGrid>
        <w:gridCol w:w="1115"/>
        <w:gridCol w:w="60"/>
        <w:gridCol w:w="109"/>
        <w:gridCol w:w="691"/>
        <w:gridCol w:w="60"/>
        <w:gridCol w:w="111"/>
        <w:gridCol w:w="704"/>
        <w:gridCol w:w="60"/>
        <w:gridCol w:w="673"/>
        <w:gridCol w:w="1236"/>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spacing w:before="0" w:after="283"/>
              <w:jc w:val="center"/>
              <w:rPr>
                <w:b/>
              </w:rPr>
            </w:pPr>
            <w:r>
              <w:rPr>
                <w:b/>
              </w:rPr>
              <w:t>Broker Non-Votes</w:t>
            </w:r>
          </w:p>
        </w:tc>
      </w:tr>
      <w:tr>
        <w:trPr/>
        <w:tc>
          <w:tcPr>
            <w:tcW w:w="1115" w:type="dxa"/>
            <w:tcBorders/>
            <w:shd w:fill="CCEEFF" w:val="clear"/>
            <w:tcMar>
              <w:bottom w:w="0" w:type="dxa"/>
            </w:tcMar>
            <w:vAlign w:val="center"/>
          </w:tcPr>
          <w:p>
            <w:pPr>
              <w:pStyle w:val="TableContents"/>
              <w:bidi w:val="0"/>
              <w:spacing w:before="0" w:after="283"/>
              <w:jc w:val="center"/>
              <w:rPr/>
            </w:pPr>
            <w:r>
              <w:rPr/>
              <w:t>34,206,330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9" w:type="dxa"/>
            <w:tcBorders/>
            <w:shd w:fill="CCEEFF" w:val="clear"/>
            <w:tcMar>
              <w:bottom w:w="0" w:type="dxa"/>
            </w:tcMar>
            <w:vAlign w:val="center"/>
          </w:tcPr>
          <w:p>
            <w:pPr>
              <w:pStyle w:val="TableContents"/>
              <w:bidi w:val="0"/>
              <w:spacing w:before="0" w:after="283"/>
              <w:jc w:val="center"/>
              <w:rPr/>
            </w:pPr>
            <w:r>
              <w:rPr/>
              <w:t> </w:t>
            </w:r>
          </w:p>
        </w:tc>
        <w:tc>
          <w:tcPr>
            <w:tcW w:w="691" w:type="dxa"/>
            <w:tcBorders/>
            <w:shd w:fill="CCEEFF" w:val="clear"/>
            <w:tcMar>
              <w:bottom w:w="0" w:type="dxa"/>
            </w:tcMar>
            <w:vAlign w:val="center"/>
          </w:tcPr>
          <w:p>
            <w:pPr>
              <w:pStyle w:val="TableContents"/>
              <w:bidi w:val="0"/>
              <w:spacing w:before="0" w:after="283"/>
              <w:jc w:val="center"/>
              <w:rPr/>
            </w:pPr>
            <w:r>
              <w:rPr/>
              <w:t>652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1" w:type="dxa"/>
            <w:tcBorders/>
            <w:shd w:fill="CCEEFF" w:val="clear"/>
            <w:tcMar>
              <w:bottom w:w="0" w:type="dxa"/>
            </w:tcMar>
            <w:vAlign w:val="center"/>
          </w:tcPr>
          <w:p>
            <w:pPr>
              <w:pStyle w:val="TableContents"/>
              <w:bidi w:val="0"/>
              <w:spacing w:before="0" w:after="283"/>
              <w:jc w:val="center"/>
              <w:rPr/>
            </w:pPr>
            <w:r>
              <w:rPr/>
              <w:t> </w:t>
            </w:r>
          </w:p>
        </w:tc>
        <w:tc>
          <w:tcPr>
            <w:tcW w:w="704" w:type="dxa"/>
            <w:tcBorders/>
            <w:shd w:fill="CCEEFF" w:val="clear"/>
            <w:tcMar>
              <w:bottom w:w="0" w:type="dxa"/>
            </w:tcMar>
            <w:vAlign w:val="center"/>
          </w:tcPr>
          <w:p>
            <w:pPr>
              <w:pStyle w:val="TableContents"/>
              <w:bidi w:val="0"/>
              <w:spacing w:before="0" w:after="283"/>
              <w:jc w:val="center"/>
              <w:rPr/>
            </w:pPr>
            <w:r>
              <w:rPr/>
              <w:t>671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3" w:type="dxa"/>
            <w:tcBorders/>
            <w:shd w:fill="CCEEFF" w:val="clear"/>
            <w:tcMar>
              <w:bottom w:w="0" w:type="dxa"/>
            </w:tcMar>
            <w:vAlign w:val="center"/>
          </w:tcPr>
          <w:p>
            <w:pPr>
              <w:pStyle w:val="TableContents"/>
              <w:bidi w:val="0"/>
              <w:spacing w:before="0" w:after="283"/>
              <w:jc w:val="center"/>
              <w:rPr/>
            </w:pPr>
            <w:r>
              <w:rPr/>
              <w:t> </w:t>
            </w:r>
          </w:p>
        </w:tc>
        <w:tc>
          <w:tcPr>
            <w:tcW w:w="1236" w:type="dxa"/>
            <w:tcBorders/>
            <w:shd w:fill="CCEEFF" w:val="clear"/>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1865"/>
        <w:gridCol w:w="590"/>
        <w:gridCol w:w="483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7,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552</Words>
  <Characters>3010</Characters>
  <CharactersWithSpaces>3561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