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 Sau Kuen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HOUR LOOP,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8201 164TH AVE NE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Hour Loop,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HOUR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Senior Vice President</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98052-7615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1,586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16,681,657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0000FF"/>
              </w:rPr>
              <w:t>16,681,657</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approved by the issuer's Board of Directors, of common stock to the reporting person, as compensation for services rendered.</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Sam Lai, Ms. Yu's spouse. Mr. Lai is the issuer's Chief Executive Officer and a member of the issuer's Board of Directors. Together, Ms. Yu and Mr. Lai beneficially own 33,363,314 shares of the issuer's common stock, with each of Mr. Lai and Ms. Yu beneficially holding 33,363,314 shares of the issuer's common stock, as each of them is deemed to indirectly beneficially own the other's 16,681,657 shares.</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Sau Kuen Yu</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07/02/2026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03992" TargetMode="External"/><Relationship Id="rId14" Type="http://schemas.openxmlformats.org/officeDocument/2006/relationships/hyperlink" Target="http://www.sec.gov/cgi-bin/browse-edgar?action=getcompany&amp;CIK=00018748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2026-07-02T19:36:03Z</dcterms:created>
  <dcterms:modified xsi:type="dcterms:W3CDTF">2026-07-02T19:36:03Z</dcterms:modified>
</cp:coreProperties>
</file>