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1__20"/>
      <w:bookmarkEnd w:id="2"/>
      <w:r>
        <w:rPr>
          <w:rFonts w:ascii="Times New Roman;Times;Serif" w:hAnsi="Times New Roman;Times;Serif"/>
          <w:b/>
          <w:i w:val="false"/>
          <w:caps w:val="false"/>
          <w:smallCaps w:val="false"/>
          <w:sz w:val="36"/>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u w:val="single"/>
        </w:rPr>
        <w:t>August 11,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HOUR LOOP,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5280" w:type="dxa"/>
        <w:jc w:val="left"/>
        <w:tblInd w:w="0" w:type="dxa"/>
        <w:tblLayout w:type="fixed"/>
        <w:tblCellMar>
          <w:top w:w="0" w:type="dxa"/>
          <w:left w:w="0" w:type="dxa"/>
          <w:bottom w:w="28" w:type="dxa"/>
          <w:right w:w="0" w:type="dxa"/>
        </w:tblCellMar>
      </w:tblPr>
      <w:tblGrid>
        <w:gridCol w:w="2165"/>
        <w:gridCol w:w="60"/>
        <w:gridCol w:w="1100"/>
        <w:gridCol w:w="60"/>
        <w:gridCol w:w="189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811"/>
            <w:bookmarkEnd w:id="6"/>
            <w:r>
              <w:rPr>
                <w:rFonts w:ascii="Times New Roman;Times;Serif" w:hAnsi="Times New Roman;Times;Serif"/>
                <w:b/>
                <w:i w:val="false"/>
                <w:caps w:val="false"/>
                <w:smallCaps w:val="false"/>
                <w:sz w:val="20"/>
              </w:rPr>
              <w:t>001-41204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47-2869399</w:t>
            </w:r>
          </w:p>
        </w:tc>
      </w:tr>
      <w:tr>
        <w:trPr/>
        <w:tc>
          <w:tcPr>
            <w:tcW w:w="216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bookmarkStart w:id="8" w:name="xdx_906_edei--EntityAddressAddressLine1_"/>
      <w:bookmarkEnd w:id="8"/>
      <w:r>
        <w:rPr>
          <w:rFonts w:ascii="Times New Roman;Times;Serif" w:hAnsi="Times New Roman;Times;Serif"/>
          <w:b/>
          <w:i w:val="false"/>
          <w:caps w:val="false"/>
          <w:smallCaps w:val="false"/>
          <w:sz w:val="20"/>
          <w:u w:val="single"/>
        </w:rPr>
        <w:t xml:space="preserve">8201 164th Ave NE #200, </w:t>
      </w:r>
      <w:bookmarkStart w:id="9" w:name="xdx_902_edei--EntityAddressCityOrTown_c2"/>
      <w:bookmarkEnd w:id="9"/>
      <w:r>
        <w:rPr>
          <w:rFonts w:ascii="Times New Roman;Times;Serif" w:hAnsi="Times New Roman;Times;Serif"/>
          <w:b/>
          <w:i w:val="false"/>
          <w:caps w:val="false"/>
          <w:smallCaps w:val="false"/>
          <w:sz w:val="20"/>
          <w:u w:val="single"/>
        </w:rPr>
        <w:t xml:space="preserve">Redmond, </w:t>
      </w:r>
      <w:bookmarkStart w:id="10" w:name="xdx_907_edei--EntityAddressStateOrProvin"/>
      <w:bookmarkEnd w:id="10"/>
      <w:r>
        <w:rPr>
          <w:rFonts w:ascii="Times New Roman;Times;Serif" w:hAnsi="Times New Roman;Times;Serif"/>
          <w:b/>
          <w:i w:val="false"/>
          <w:caps w:val="false"/>
          <w:smallCaps w:val="false"/>
          <w:sz w:val="20"/>
          <w:u w:val="single"/>
        </w:rPr>
        <w:t xml:space="preserve">WA </w:t>
      </w:r>
      <w:bookmarkStart w:id="11" w:name="xdx_900_edei--EntityAddressPostalZipCode"/>
      <w:bookmarkEnd w:id="11"/>
      <w:r>
        <w:rPr>
          <w:rFonts w:ascii="Times New Roman;Times;Serif" w:hAnsi="Times New Roman;Times;Serif"/>
          <w:b/>
          <w:i w:val="false"/>
          <w:caps w:val="false"/>
          <w:smallCaps w:val="false"/>
          <w:sz w:val="20"/>
          <w:u w:val="single"/>
        </w:rPr>
        <w:t>98052-7615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bookmarkStart w:id="12" w:name="xdx_906_edei--CityAreaCode_c20260811__20"/>
      <w:bookmarkEnd w:id="12"/>
      <w:r>
        <w:rPr>
          <w:rFonts w:ascii="Times New Roman;Times;Serif" w:hAnsi="Times New Roman;Times;Serif"/>
          <w:b/>
          <w:i w:val="false"/>
          <w:caps w:val="false"/>
          <w:smallCaps w:val="false"/>
          <w:sz w:val="20"/>
          <w:u w:val="single"/>
        </w:rPr>
        <w:t xml:space="preserve">(206) </w:t>
      </w:r>
      <w:bookmarkStart w:id="13" w:name="xdx_90F_edei--LocalPhoneNumber_c20260811"/>
      <w:bookmarkEnd w:id="13"/>
      <w:r>
        <w:rPr>
          <w:rFonts w:ascii="Times New Roman;Times;Serif" w:hAnsi="Times New Roman;Times;Serif"/>
          <w:b/>
          <w:i w:val="false"/>
          <w:caps w:val="false"/>
          <w:smallCaps w:val="false"/>
          <w:sz w:val="20"/>
          <w:u w:val="single"/>
        </w:rPr>
        <w:t>385-0488 ext. 100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9_edei--SolicitingMaterial_c202608"/>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E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5_edei--Security12bTitle_c20260811"/>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TradingSymbol_c20260811__2"/>
            <w:bookmarkEnd w:id="19"/>
            <w:r>
              <w:rPr>
                <w:rFonts w:ascii="Times New Roman;Times;Serif" w:hAnsi="Times New Roman;Times;Serif"/>
                <w:b w:val="false"/>
                <w:i w:val="false"/>
                <w:caps w:val="false"/>
                <w:smallCaps w:val="false"/>
                <w:sz w:val="20"/>
              </w:rPr>
              <w:t>HOUR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1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Hour Loop, Inc. (the “Company”) issued a press release announcing its financial and operational results for the quarter ended June 30, 2026, and reaffirming net revenue and net income guidance for the year ending December 31, 2026. A copy of this press release is attached hereto as Exhibit 99.1 and incorporated herein by reference. The information contained in the website is not a part of this current report on Form 8-K.</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included in this Item 2.02, including Exhibit 99.1,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jc w:val="both"/>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by the registrant on August 11, 2026.</w:t>
              </w:r>
            </w:hyperlink>
          </w:p>
        </w:tc>
      </w:tr>
      <w:tr>
        <w:trPr/>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1970"/>
        <w:gridCol w:w="590"/>
        <w:gridCol w:w="252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1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w:t>
              <w:br/>
              <w:t>Interim Chief Financial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647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Reports Second Quarter of 2026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Continued Profitability Despite a Challenging Economic Environment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Redmond, WA, Aug 11, 2026</w:t>
      </w:r>
      <w:r>
        <w:rPr>
          <w:rFonts w:ascii="Times New Roman;Times;Serif" w:hAnsi="Times New Roman;Times;Serif"/>
          <w:b w:val="false"/>
          <w:i w:val="false"/>
          <w:caps w:val="false"/>
          <w:smallCaps w:val="false"/>
          <w:sz w:val="20"/>
        </w:rPr>
        <w:t xml:space="preserve"> – Hour Loop, Inc. (NASDAQ: HOUR) (“Hour Loop” or the “Company”), a leading online retailer, announces its financial and operational results for the quarter ended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 for Second Quarter of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increased 25% to $33.9 million, compared to $27.1 million in the year-ago period;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decreased to $1.1 million, compared to $1.2 million in the year-ago period;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$3.6 million, compared to cash used in operating activities of $0.9 million in the year-ago period.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was a remarkable quarter for Hour Loop. Revenue grew 25% year over year, reflecting strong business momentum and giving us greater confidence in the opportunities ahead,” said Sam Lai, Chief Executive Officer and Interim Chief Financial Officer. “We delivered this growth while navigating margin pressure and continuing to improve how we operate. We are excited about what we have accomplished—and even more excited about what comes next.”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vision is to automate every part of the business. Humans are optional. We believe AI will fundamentally reshape how companies operate, and Hour Loop intends to lead in this new era. Our proprietary AI system already powers more than one hundred AI agents across the organization, and we are redesigning our operations around autonomous execution, faster decisions and greater scale. We believe 2026 will be remembered as the beginning of Hour Loop’s AI-first 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deeply grateful to our employees for their ambition and execution, and to our shareholders for their continued confidence. We believe the next several years can be transformative for Hour Loop, and we have never been more optimistic about the opportunity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of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in the Second Quarter of 2026 were $33.9 million, compared to $27.1 million in the same period last year. The increase was primarily driven by expanded inventory availability, which supported improved product availability and sales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Gross profit as a percentage of net revenues decreased to 52.9%, compared to 57.2% in the same period last year. The decrease was primarily reflecting a shift in sales strategy. In the same period last year, the Company intentionally maintained a higher gross margin in response to tariff concerns by preserving lower-cost inventory and gradually adjusting retail prices to help customers adapt to higher price levels.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expenses as a percentage of net revenues in the Second Quarter of 2026 decreased to 49.2%, compared to 51.2% in the same period last year. The decrease was mainly attributable to greater operating leverage and continued efficiency improvements.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Second Quarter of 2026 was $1.1 million, or $0.03 per diluted share, compared to net income of $1.2 million, or $0.04 per diluted share, in the same period last year. The decrease was driven by increased costs and decreased expenses because of the reasons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had $1.0 million in cash and cash equivalents, compared to $3.8 million as of December 31, 2025. This decrease was driven by payments to related parties and additional investment in inventory.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2026 Financial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Hour Loop reaffirms its guidance for the full year, anticipating 2026 net revenue to be in the range of $143.0 million to $163.0 million, representing flat to 15% year-over-year growth. The Company continues to expect 2026 net income to be in the range of $0.75 million to $1.5 million.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495425"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95425" cy="647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Hour Loop,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Hour Loop is an online retailer engaged in e-commerce retailing in the U.S. market. It has operated as a third-party seller on </w:t>
      </w:r>
      <w:r>
        <w:rPr>
          <w:rFonts w:ascii="Times New Roman;Times;Serif" w:hAnsi="Times New Roman;Times;Serif"/>
          <w:b w:val="false"/>
          <w:i/>
          <w:caps w:val="false"/>
          <w:smallCaps w:val="false"/>
          <w:sz w:val="20"/>
        </w:rPr>
        <w:t>www.amazon.com</w:t>
      </w:r>
      <w:r>
        <w:rPr>
          <w:rFonts w:ascii="Times New Roman;Times;Serif" w:hAnsi="Times New Roman;Times;Serif"/>
          <w:b w:val="false"/>
          <w:i w:val="false"/>
          <w:caps w:val="false"/>
          <w:smallCaps w:val="false"/>
          <w:sz w:val="20"/>
        </w:rPr>
        <w:t xml:space="preserve"> and has sold merchandise on its website at </w:t>
      </w:r>
      <w:r>
        <w:rPr>
          <w:rFonts w:ascii="Times New Roman;Times;Serif" w:hAnsi="Times New Roman;Times;Serif"/>
          <w:b w:val="false"/>
          <w:i/>
          <w:caps w:val="false"/>
          <w:smallCaps w:val="false"/>
          <w:sz w:val="20"/>
        </w:rPr>
        <w:t>www.hourloop.com</w:t>
      </w:r>
      <w:r>
        <w:rPr>
          <w:rFonts w:ascii="Times New Roman;Times;Serif" w:hAnsi="Times New Roman;Times;Serif"/>
          <w:b w:val="false"/>
          <w:i w:val="false"/>
          <w:caps w:val="false"/>
          <w:smallCaps w:val="false"/>
          <w:sz w:val="20"/>
        </w:rPr>
        <w:t xml:space="preserve"> since 2013. Hour Loop further expanded its operations to other marketplaces such as Walmart, eBay, and SHEIN. To date, Hour Loop has generated practically all its revenue as a third-party seller on </w:t>
      </w:r>
      <w:r>
        <w:rPr>
          <w:rFonts w:ascii="Times New Roman;Times;Serif" w:hAnsi="Times New Roman;Times;Serif"/>
          <w:b w:val="false"/>
          <w:i/>
          <w:caps w:val="false"/>
          <w:smallCaps w:val="false"/>
          <w:sz w:val="20"/>
        </w:rPr>
        <w:t>www.amazon.com</w:t>
      </w:r>
      <w:r>
        <w:rPr>
          <w:rFonts w:ascii="Times New Roman;Times;Serif" w:hAnsi="Times New Roman;Times;Serif"/>
          <w:b w:val="false"/>
          <w:i w:val="false"/>
          <w:caps w:val="false"/>
          <w:smallCaps w:val="false"/>
          <w:sz w:val="20"/>
        </w:rPr>
        <w:t xml:space="preserve"> and only a negligible amount of revenue from its own website and other marketplaces. Hour Loop manages more than 100,000 stock-keeping units (“SKUs”). Product categories include home/garden décor, toys, kitchenware, apparel, and electronics. Hour Loop’s primary strategy is to bring most of its vendors’ product selections to the customers. It has advanced software that assists Hour Loop in identifying product gaps so it can keep such products in stock year-round, including the entirety of the last quarter (holiday season) of the calendar year. In upcoming years, Hour Loop plans to expand its business rapidly by increasing the number of business managers, vendors, and SKUs.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constitute “forward-looking statements,” within the meaning of Section 27A of the Securities Act of 1933, as amended, Section 21E of the Securities Exchange Act of 1934, as amended, or the Private Securities Litigation Reform Act of 1995, including with respect to Hour Loop’s business strategy, product development and industry trends. All statements other than statements of historical facts included in this press release are forward-looking statements. In some cases, forward-looking statements can be identified by words such as “believed,” “intend,” “expect,” “anticipate,” “plan,” “potential,” “continue,” or similar expressions. Forward-looking statements are subject to numerous conditions, many of which are beyond the control of Hour Loop. While Hour Loop believes these forward-looking statements are reasonable, undue reliance should not be placed on any such forward-looking statements, which are based on information available to Hour Loop on the date of this release. These forward-looking statements are based upon current estimates and assumptions and are subject to various risks and uncertainties, including, without limitation, those set forth in Hour Loop’s filings with the Securities and Exchange Commission, as the same may be updated from time to time. Thus, actual results could be materially different. Hour Loop undertakes no obligation to update these statements whether as a result of new information, future events or otherwise, after the date of this release, except as required by law. The contents of any website referenced in this press release are not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Department, Hour Loop, Inc.</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finance@hourloop.com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 and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12"/>
        <w:gridCol w:w="60"/>
        <w:gridCol w:w="144"/>
        <w:gridCol w:w="1134"/>
        <w:gridCol w:w="60"/>
        <w:gridCol w:w="60"/>
        <w:gridCol w:w="164"/>
        <w:gridCol w:w="1295"/>
        <w:gridCol w:w="76"/>
      </w:tblGrid>
      <w:tr>
        <w:trPr/>
        <w:tc>
          <w:tcPr>
            <w:tcW w:w="72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76"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985,404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3,792,033</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2,706,742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235,959</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Inventory,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20,852,287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18,298,935</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pPr>
            <w:r>
              <w:rPr/>
              <w:t>1,143,145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619,261</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25,687,578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22,946,188</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75,791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95,917</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293,089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609,964</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Operating lease right-of-use lease assets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CCEEFF" w:val="clear"/>
            <w:tcMar>
              <w:bottom w:w="28" w:type="dxa"/>
            </w:tcMar>
            <w:vAlign w:val="center"/>
          </w:tcPr>
          <w:p>
            <w:pPr>
              <w:pStyle w:val="TableContents"/>
              <w:bidi w:val="0"/>
              <w:spacing w:before="0" w:after="283"/>
              <w:jc w:val="right"/>
              <w:rPr/>
            </w:pPr>
            <w:r>
              <w:rPr/>
              <w:t>124,861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169,368</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493,741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875,249</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pPr>
            <w:r>
              <w:rPr/>
              <w:t>26,181,319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23,821,437</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8,454,369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6,200,526</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3,666,375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3,707,976</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Short-term loan</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628,931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637,348</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Operating lease liabilities-current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91,142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92,362</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172,762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51,147</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833,051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2,226,387</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Due to related parties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CCEEFF" w:val="clear"/>
            <w:tcMar>
              <w:bottom w:w="28" w:type="dxa"/>
            </w:tcMar>
            <w:vAlign w:val="center"/>
          </w:tcPr>
          <w:p>
            <w:pPr>
              <w:pStyle w:val="TableContents"/>
              <w:bidi w:val="0"/>
              <w:spacing w:before="0" w:after="283"/>
              <w:jc w:val="right"/>
              <w:rPr/>
            </w:pPr>
            <w:r>
              <w:rPr/>
              <w:t>3,410,418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3,810,418</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17,257,048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16,726,164</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Operating lease liabilities-non-current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38,357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83,271</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pPr>
            <w:r>
              <w:rPr/>
              <w:t>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18,143</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CCEEFF" w:val="clear"/>
            <w:tcMar>
              <w:bottom w:w="28" w:type="dxa"/>
            </w:tcMar>
            <w:vAlign w:val="center"/>
          </w:tcPr>
          <w:p>
            <w:pPr>
              <w:pStyle w:val="TableContents"/>
              <w:bidi w:val="0"/>
              <w:spacing w:before="0" w:after="283"/>
              <w:jc w:val="right"/>
              <w:rPr/>
            </w:pPr>
            <w:r>
              <w:rPr/>
              <w:t>38,903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101,414</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17,295,951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16,827,578</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Preferred stock: $0.0001 par value, 10,000,000 shares authorized, none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Common stock: $0.0001 par value, 300,000,000 shares authorized, 35,191,890 and 35,176,320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3,518</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5,892,681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5,862,683</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2,984,841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1,109,674</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pPr>
            <w:r>
              <w:rPr/>
              <w:t>4,327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17,984</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CCEEFF" w:val="clear"/>
            <w:tcMar>
              <w:bottom w:w="28" w:type="dxa"/>
            </w:tcMar>
            <w:vAlign w:val="center"/>
          </w:tcPr>
          <w:p>
            <w:pPr>
              <w:pStyle w:val="TableContents"/>
              <w:bidi w:val="0"/>
              <w:spacing w:before="0" w:after="283"/>
              <w:jc w:val="right"/>
              <w:rPr/>
            </w:pPr>
            <w:r>
              <w:rPr/>
              <w:t>8,885,368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6,993,859</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pPr>
            <w:r>
              <w:rPr/>
              <w:t>26,181,319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23,821,437</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43"/>
        <w:gridCol w:w="60"/>
        <w:gridCol w:w="143"/>
        <w:gridCol w:w="1203"/>
        <w:gridCol w:w="97"/>
        <w:gridCol w:w="61"/>
        <w:gridCol w:w="143"/>
        <w:gridCol w:w="1203"/>
        <w:gridCol w:w="95"/>
        <w:gridCol w:w="60"/>
        <w:gridCol w:w="140"/>
        <w:gridCol w:w="1175"/>
        <w:gridCol w:w="95"/>
        <w:gridCol w:w="60"/>
        <w:gridCol w:w="140"/>
        <w:gridCol w:w="1175"/>
        <w:gridCol w:w="112"/>
      </w:tblGrid>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0" w:type="dxa"/>
            <w:gridSpan w:val="6"/>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12" w:type="dxa"/>
            <w:tcBorders/>
            <w:vAlign w:val="center"/>
          </w:tcPr>
          <w:p>
            <w:pPr>
              <w:pStyle w:val="TableContents"/>
              <w:bidi w:val="0"/>
              <w:spacing w:before="0" w:after="283"/>
              <w:jc w:val="left"/>
              <w:rPr/>
            </w:pPr>
            <w:r>
              <w:rPr/>
              <w:t> </w:t>
            </w:r>
          </w:p>
        </w:tc>
      </w:tr>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2" w:type="dxa"/>
            <w:tcBorders/>
            <w:vAlign w:val="center"/>
          </w:tcPr>
          <w:p>
            <w:pPr>
              <w:pStyle w:val="TableContents"/>
              <w:bidi w:val="0"/>
              <w:spacing w:before="0" w:after="283"/>
              <w:jc w:val="left"/>
              <w:rPr/>
            </w:pPr>
            <w:r>
              <w:rPr/>
              <w:t> </w:t>
            </w:r>
          </w:p>
        </w:tc>
      </w:tr>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Revenues,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33,944,191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27,103,106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63,874,533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52,940,196</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(15,976,053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(11,605,754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(29,888,620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(23,297,546</w:t>
            </w:r>
          </w:p>
        </w:tc>
        <w:tc>
          <w:tcPr>
            <w:tcW w:w="112" w:type="dxa"/>
            <w:tcBorders/>
            <w:shd w:fill="FFFFFF" w:val="clear"/>
            <w:vAlign w:val="center"/>
          </w:tcPr>
          <w:p>
            <w:pPr>
              <w:pStyle w:val="TableContents"/>
              <w:bidi w:val="0"/>
              <w:spacing w:before="0" w:after="283"/>
              <w:jc w:val="left"/>
              <w:rPr/>
            </w:pPr>
            <w:r>
              <w:rPr/>
              <w:t>)</w:t>
            </w:r>
          </w:p>
        </w:tc>
      </w:tr>
      <w:tr>
        <w:trPr/>
        <w:tc>
          <w:tcPr>
            <w:tcW w:w="424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17,968,138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15,497,352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33,985,913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29,642,650</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14,518,903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11,715,571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27,117,544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22,962,568</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2,164,849</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2,160,930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4,441,855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4,138,366</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16,683,752</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13,876,501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31,559,399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27,100,934</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Income from operations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1,284,386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1,620,851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2,426,514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2,541,716</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(448</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(1,999</w:t>
            </w:r>
          </w:p>
        </w:tc>
        <w:tc>
          <w:tcPr>
            <w:tcW w:w="112" w:type="dxa"/>
            <w:tcBorders/>
            <w:shd w:fill="CCEEFF" w:val="clear"/>
            <w:vAlign w:val="center"/>
          </w:tcPr>
          <w:p>
            <w:pPr>
              <w:pStyle w:val="TableContents"/>
              <w:bidi w:val="0"/>
              <w:spacing w:before="0" w:after="283"/>
              <w:jc w:val="left"/>
              <w:rPr/>
            </w:pPr>
            <w:r>
              <w:rPr/>
              <w:t>)</w:t>
            </w:r>
          </w:p>
        </w:tc>
      </w:tr>
      <w:tr>
        <w:trPr/>
        <w:tc>
          <w:tcPr>
            <w:tcW w:w="4243"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(46,335</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(43,782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(90,837</w:t>
            </w:r>
          </w:p>
        </w:tc>
        <w:tc>
          <w:tcPr>
            <w:tcW w:w="112" w:type="dxa"/>
            <w:tcBorders/>
            <w:shd w:fill="FFFFFF" w:val="clear"/>
            <w:vAlign w:val="center"/>
          </w:tcPr>
          <w:p>
            <w:pPr>
              <w:pStyle w:val="TableContents"/>
              <w:bidi w:val="0"/>
              <w:spacing w:before="0" w:after="283"/>
              <w:jc w:val="left"/>
              <w:rPr/>
            </w:pPr>
            <w:r>
              <w:rPr/>
              <w:t>)</w:t>
            </w:r>
          </w:p>
        </w:tc>
      </w:tr>
      <w:tr>
        <w:trPr/>
        <w:tc>
          <w:tcPr>
            <w:tcW w:w="4243"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20,073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7,912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46,831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69,737</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(26,710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(38,170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(35,698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(23,099</w:t>
            </w:r>
          </w:p>
        </w:tc>
        <w:tc>
          <w:tcPr>
            <w:tcW w:w="112" w:type="dxa"/>
            <w:tcBorders/>
            <w:shd w:fill="FFFFFF" w:val="clear"/>
            <w:vAlign w:val="center"/>
          </w:tcPr>
          <w:p>
            <w:pPr>
              <w:pStyle w:val="TableContents"/>
              <w:bidi w:val="0"/>
              <w:spacing w:before="0" w:after="283"/>
              <w:jc w:val="left"/>
              <w:rPr/>
            </w:pPr>
            <w:r>
              <w:rPr/>
              <w:t>)</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Income before income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1,257,676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1,582,681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2,390,816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2,518,617</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(205,991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(405,680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(515,649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(687,099</w:t>
            </w:r>
          </w:p>
        </w:tc>
        <w:tc>
          <w:tcPr>
            <w:tcW w:w="112" w:type="dxa"/>
            <w:tcBorders/>
            <w:shd w:fill="CCEEFF" w:val="clear"/>
            <w:vAlign w:val="center"/>
          </w:tcPr>
          <w:p>
            <w:pPr>
              <w:pStyle w:val="TableContents"/>
              <w:bidi w:val="0"/>
              <w:spacing w:before="0" w:after="283"/>
              <w:jc w:val="left"/>
              <w:rPr/>
            </w:pPr>
            <w:r>
              <w:rPr/>
              <w:t>)</w:t>
            </w:r>
          </w:p>
        </w:tc>
      </w:tr>
      <w:tr>
        <w:trPr/>
        <w:tc>
          <w:tcPr>
            <w:tcW w:w="4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1,051,685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1,177,001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1,875,167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1,831,518</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3,959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154,939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(13,657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141,403</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Total comprehensive income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r>
              <w:rPr/>
              <w:t>1,055,644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r>
              <w:rPr/>
              <w:t>1,331,940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1,861,510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1,972,921</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203" w:type="dxa"/>
            <w:tcBorders/>
            <w:shd w:fill="FFFFFF" w:val="clear"/>
            <w:vAlign w:val="center"/>
          </w:tcPr>
          <w:p>
            <w:pPr>
              <w:pStyle w:val="TableContents"/>
              <w:bidi w:val="0"/>
              <w:spacing w:before="0" w:after="283"/>
              <w:jc w:val="right"/>
              <w:rPr/>
            </w:pPr>
            <w:r>
              <w:rPr/>
              <w:t>0.03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203"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0.06</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Weighted-average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pPr>
            <w:r>
              <w:rPr/>
              <w:t>35,191,368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pPr>
            <w:r>
              <w:rPr/>
              <w:t>35,160,095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35,187,524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35,155,795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197" w:type="dxa"/>
        <w:jc w:val="left"/>
        <w:tblInd w:w="0" w:type="dxa"/>
        <w:tblLayout w:type="fixed"/>
        <w:tblCellMar>
          <w:top w:w="0" w:type="dxa"/>
          <w:left w:w="0" w:type="dxa"/>
          <w:bottom w:w="0" w:type="dxa"/>
          <w:right w:w="0" w:type="dxa"/>
        </w:tblCellMar>
      </w:tblPr>
      <w:tblGrid>
        <w:gridCol w:w="7385"/>
        <w:gridCol w:w="60"/>
        <w:gridCol w:w="145"/>
        <w:gridCol w:w="1096"/>
        <w:gridCol w:w="98"/>
        <w:gridCol w:w="62"/>
        <w:gridCol w:w="145"/>
        <w:gridCol w:w="1096"/>
        <w:gridCol w:w="110"/>
      </w:tblGrid>
      <w:tr>
        <w:trPr/>
        <w:tc>
          <w:tcPr>
            <w:tcW w:w="7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10"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1"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1,875,167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1,831,518</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Reconciliation of net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Depreciation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24,700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23,517</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Amortization of operating lease right-of-use lease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42,575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122,018</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316,875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546,952</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(17,597</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19,464</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29,999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30,001</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Inventory allowance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370,981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416,196</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Unrealized foreign exchange gain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(26,655</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237,028</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(2,470,783</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1,172,592</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(2,924,333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(6,716,310</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(523,884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(197,393</w:t>
            </w:r>
          </w:p>
        </w:tc>
        <w:tc>
          <w:tcPr>
            <w:tcW w:w="110" w:type="dxa"/>
            <w:tcBorders/>
            <w:shd w:fill="FFFFFF" w:val="clear"/>
            <w:vAlign w:val="center"/>
          </w:tcPr>
          <w:p>
            <w:pPr>
              <w:pStyle w:val="TableContents"/>
              <w:bidi w:val="0"/>
              <w:spacing w:before="0" w:after="283"/>
              <w:jc w:val="left"/>
              <w:rPr/>
            </w:pPr>
            <w:r>
              <w:rPr/>
              <w:t>)</w:t>
            </w:r>
          </w:p>
        </w:tc>
      </w:tr>
      <w:tr>
        <w:trPr/>
        <w:tc>
          <w:tcPr>
            <w:tcW w:w="738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2,253,843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4,407,785</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(41,601</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(409,341</w:t>
            </w:r>
          </w:p>
        </w:tc>
        <w:tc>
          <w:tcPr>
            <w:tcW w:w="110" w:type="dxa"/>
            <w:tcBorders/>
            <w:shd w:fill="FFFFFF" w:val="clear"/>
            <w:vAlign w:val="center"/>
          </w:tcPr>
          <w:p>
            <w:pPr>
              <w:pStyle w:val="TableContents"/>
              <w:bidi w:val="0"/>
              <w:spacing w:before="0" w:after="283"/>
              <w:jc w:val="left"/>
              <w:rPr/>
            </w:pPr>
            <w:r>
              <w:rPr/>
              <w:t>)</w:t>
            </w:r>
          </w:p>
        </w:tc>
      </w:tr>
      <w:tr>
        <w:trPr/>
        <w:tc>
          <w:tcPr>
            <w:tcW w:w="738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(2,543,336</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(2,283,745</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(44,130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(125,712</w:t>
            </w:r>
          </w:p>
        </w:tc>
        <w:tc>
          <w:tcPr>
            <w:tcW w:w="110" w:type="dxa"/>
            <w:tcBorders/>
            <w:shd w:fill="FFFFFF" w:val="clear"/>
            <w:vAlign w:val="center"/>
          </w:tcPr>
          <w:p>
            <w:pPr>
              <w:pStyle w:val="TableContents"/>
              <w:bidi w:val="0"/>
              <w:spacing w:before="0" w:after="283"/>
              <w:jc w:val="left"/>
              <w:rPr/>
            </w:pPr>
            <w:r>
              <w:rPr/>
              <w:t>)</w:t>
            </w:r>
          </w:p>
        </w:tc>
      </w:tr>
      <w:tr>
        <w:trPr/>
        <w:tc>
          <w:tcPr>
            <w:tcW w:w="7385"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121,615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(3,556,564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(925,430</w:t>
            </w:r>
          </w:p>
        </w:tc>
        <w:tc>
          <w:tcPr>
            <w:tcW w:w="110" w:type="dxa"/>
            <w:tcBorders/>
            <w:shd w:fill="FFFFFF" w:val="clear"/>
            <w:vAlign w:val="center"/>
          </w:tcPr>
          <w:p>
            <w:pPr>
              <w:pStyle w:val="TableContents"/>
              <w:bidi w:val="0"/>
              <w:spacing w:before="0" w:after="283"/>
              <w:jc w:val="left"/>
              <w:rPr/>
            </w:pPr>
            <w:r>
              <w:rPr/>
              <w:t>)</w:t>
            </w:r>
          </w:p>
        </w:tc>
      </w:tr>
      <w:tr>
        <w:trPr/>
        <w:tc>
          <w:tcPr>
            <w:tcW w:w="7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(5,705</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(801</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(5,705</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(801</w:t>
            </w:r>
          </w:p>
        </w:tc>
        <w:tc>
          <w:tcPr>
            <w:tcW w:w="110" w:type="dxa"/>
            <w:tcBorders/>
            <w:shd w:fill="FFFFFF" w:val="clear"/>
            <w:vAlign w:val="center"/>
          </w:tcPr>
          <w:p>
            <w:pPr>
              <w:pStyle w:val="TableContents"/>
              <w:bidi w:val="0"/>
              <w:spacing w:before="0" w:after="283"/>
              <w:jc w:val="left"/>
              <w:rPr/>
            </w:pPr>
            <w:r>
              <w:rPr/>
              <w:t>)</w:t>
            </w:r>
          </w:p>
        </w:tc>
      </w:tr>
      <w:tr>
        <w:trPr/>
        <w:tc>
          <w:tcPr>
            <w:tcW w:w="7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Payments to related parties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(884,000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(839,000</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shd w:fill="FFFFFF" w:val="clear"/>
            <w:vAlign w:val="center"/>
          </w:tcPr>
          <w:p>
            <w:pPr>
              <w:pStyle w:val="TableContents"/>
              <w:bidi w:val="0"/>
              <w:spacing w:before="0" w:after="283"/>
              <w:jc w:val="left"/>
              <w:rPr/>
            </w:pPr>
            <w:r>
              <w:rPr/>
              <w:t>Proceeds from related parties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1,634,000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750,000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(839,000</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Effect of changes in foreign currency exchange rates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5,640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(28,996</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(2,806,629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(1,794,227</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Cash at beginning of period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3,792,033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2,119,581</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283"/>
              <w:jc w:val="right"/>
              <w:rPr/>
            </w:pPr>
            <w:r>
              <w:rPr/>
              <w:t>985,404</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283"/>
              <w:jc w:val="right"/>
              <w:rPr/>
            </w:pPr>
            <w:r>
              <w:rPr/>
              <w:t>325,354</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10,743</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11,095</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Cash paid for income tax</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397,770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52,841</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85" w:type="dxa"/>
            <w:tcBorders/>
            <w:shd w:fill="CCEEFF" w:val="clear"/>
            <w:vAlign w:val="center"/>
          </w:tcPr>
          <w:p>
            <w:pPr>
              <w:pStyle w:val="TableContents"/>
              <w:bidi w:val="0"/>
              <w:spacing w:before="0" w:after="283"/>
              <w:jc w:val="left"/>
              <w:rPr/>
            </w:pPr>
            <w:r>
              <w:rPr/>
              <w:t>Operating lease right-of-use of assets and operating lease liabilities recognized</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134,648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2376</Words>
  <Characters>13463</Characters>
  <CharactersWithSpaces>16425</CharactersWithSpaces>
  <Paragraphs>1544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