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Sau Kuen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HOUR LOOP,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8201 164TH AVE NE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98052-7615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Hour Loop, Inc</w:t>
              </w:r>
            </w:hyperlink>
            <w:r>
              <w:rPr/>
              <w:t xml:space="preserve"> [ </w:t>
            </w:r>
            <w:r>
              <w:rPr>
                <w:rFonts w:ascii="Times;serif" w:hAnsi="Times;serif"/>
                <w:color w:val="0000FF"/>
                <w:sz w:val="24"/>
                <w:shd w:fill="FFFFFF" w:val="clear"/>
              </w:rPr>
              <w:t>HOUR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616"/>
        <w:gridCol w:w="1365"/>
        <w:gridCol w:w="996"/>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16,683,299</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16,683,299</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approved by the issuer's Board of Directors, of common stock to the reporting person, as compensation for services rendered.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owned by Sam Lai, Ms. Yu's spouse. Mr. Lai is the issuer's Chief Executive Officer and a member of the issuer's Board of Directors. Together, Ms. Yu and Mr. Lai beneficially own 33,366,598 shares of the issuer's common stock, with each of Mr. Lai and Ms. Yu beneficially holding 33,366,598 shares of the issuer's common stock, as each of them is deemed to indirectly beneficially own the other's 16,683,299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Sau Kuen Yu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992" TargetMode="External"/><Relationship Id="rId5" Type="http://schemas.openxmlformats.org/officeDocument/2006/relationships/hyperlink" Target="http://www.sec.gov/cgi-bin/browse-edgar?action=getcompany&amp;CIK=00018748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3581</Characters>
  <CharactersWithSpaces>4178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