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ind w:left="3920" w:right="2120" w:hanging="3912"/>
        <w:spacing w:after="0" w:line="479"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8"/>
          <w:szCs w:val="18"/>
          <w:b w:val="1"/>
          <w:bCs w:val="1"/>
          <w:u w:val="single" w:color="auto"/>
          <w:color w:val="auto"/>
        </w:rPr>
        <w:t>December 31, 2025</w:t>
      </w:r>
    </w:p>
    <w:p>
      <w:pPr>
        <w:spacing w:after="0" w:line="38" w:lineRule="exact"/>
        <w:rPr>
          <w:sz w:val="24"/>
          <w:szCs w:val="24"/>
          <w:color w:val="auto"/>
        </w:rPr>
      </w:pPr>
    </w:p>
    <w:p>
      <w:pPr>
        <w:ind w:left="3040" w:right="1740" w:hanging="3032"/>
        <w:spacing w:after="0" w:line="500" w:lineRule="auto"/>
        <w:tabs>
          <w:tab w:leader="none" w:pos="33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 20 ____, to ______, 20_____.</w:t>
      </w:r>
    </w:p>
    <w:p>
      <w:pPr>
        <w:spacing w:after="0" w:line="1" w:lineRule="exact"/>
        <w:rPr>
          <w:rFonts w:ascii="MS PGothic" w:cs="MS PGothic" w:eastAsia="MS PGothic" w:hAnsi="MS PGothic"/>
          <w:sz w:val="18"/>
          <w:szCs w:val="18"/>
          <w:color w:val="auto"/>
        </w:rPr>
      </w:pPr>
    </w:p>
    <w:p>
      <w:pPr>
        <w:ind w:left="42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001-41204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HOUR LOOP,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tcBorders>
              <w:bottom w:val="single" w:sz="8" w:color="auto"/>
            </w:tcBorders>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47-2869399</w:t>
            </w:r>
          </w:p>
        </w:tc>
      </w:tr>
      <w:tr>
        <w:trPr>
          <w:trHeight w:val="198"/>
        </w:trPr>
        <w:tc>
          <w:tcPr>
            <w:tcW w:w="4520" w:type="dxa"/>
            <w:vAlign w:val="bottom"/>
            <w:gridSpan w:val="2"/>
          </w:tcPr>
          <w:p>
            <w:pPr>
              <w:jc w:val="center"/>
              <w:ind w:left="9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60" w:type="dxa"/>
            <w:vAlign w:val="bottom"/>
          </w:tcPr>
          <w:p>
            <w:pPr>
              <w:jc w:val="center"/>
              <w:ind w:right="11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0"/>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6"/>
              </w:rPr>
              <w:t>8201 164</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Ave. NE</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8"/>
        </w:trPr>
        <w:tc>
          <w:tcPr>
            <w:tcW w:w="4520" w:type="dxa"/>
            <w:vAlign w:val="bottom"/>
            <w:tcBorders>
              <w:bottom w:val="single" w:sz="8" w:color="auto"/>
            </w:tcBorders>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7"/>
              </w:rPr>
              <w:t>Redmond, WA</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98052-7615</w:t>
            </w:r>
          </w:p>
        </w:tc>
      </w:tr>
      <w:tr>
        <w:trPr>
          <w:trHeight w:val="228"/>
        </w:trPr>
        <w:tc>
          <w:tcPr>
            <w:tcW w:w="45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73"/>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(206) 385-0488, ext. 100</w:t>
            </w:r>
          </w:p>
        </w:tc>
        <w:tc>
          <w:tcPr>
            <w:tcW w:w="4260" w:type="dxa"/>
            <w:vAlign w:val="bottom"/>
          </w:tcPr>
          <w:p>
            <w:pPr>
              <w:spacing w:after="0"/>
              <w:rPr>
                <w:sz w:val="24"/>
                <w:szCs w:val="24"/>
                <w:color w:val="auto"/>
              </w:rPr>
            </w:pPr>
          </w:p>
        </w:tc>
      </w:tr>
      <w:tr>
        <w:trPr>
          <w:trHeight w:val="20"/>
        </w:trPr>
        <w:tc>
          <w:tcPr>
            <w:tcW w:w="4720" w:type="dxa"/>
            <w:vAlign w:val="bottom"/>
            <w:gridSpan w:val="3"/>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4720" w:type="dxa"/>
            <w:vAlign w:val="bottom"/>
            <w:gridSpan w:val="3"/>
          </w:tcPr>
          <w:p>
            <w:pPr>
              <w:spacing w:after="0" w:line="20" w:lineRule="exact"/>
              <w:rPr>
                <w:sz w:val="1"/>
                <w:szCs w:val="1"/>
                <w:color w:val="auto"/>
              </w:rPr>
            </w:pPr>
          </w:p>
        </w:tc>
      </w:tr>
      <w:tr>
        <w:trPr>
          <w:trHeight w:val="237"/>
        </w:trPr>
        <w:tc>
          <w:tcPr>
            <w:tcW w:w="11240" w:type="dxa"/>
            <w:vAlign w:val="bottom"/>
            <w:gridSpan w:val="9"/>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4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0" w:type="dxa"/>
            <w:vAlign w:val="bottom"/>
          </w:tcPr>
          <w:p>
            <w:pPr>
              <w:spacing w:after="0"/>
              <w:rPr>
                <w:sz w:val="24"/>
                <w:szCs w:val="24"/>
                <w:color w:val="auto"/>
              </w:rPr>
            </w:pPr>
          </w:p>
        </w:tc>
        <w:tc>
          <w:tcPr>
            <w:tcW w:w="22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HOUR</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1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ectPr>
          <w:pgSz w:w="11900" w:h="16900" w:orient="portrait"/>
          <w:cols w:equalWidth="0" w:num="1">
            <w:col w:w="11240"/>
          </w:cols>
          <w:pgMar w:left="320" w:top="740"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based upon the closing price of $1.43 per share of common stock as of June 30, 2025 (the last business day of the registrant’s most recently completed second fiscal quarter) was $2,501,309.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24, 2026, there were 35,183,890 shares of common stock, par value $0.0001 per share, of the registrant issued and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320" w:type="dxa"/>
            <w:vAlign w:val="bottom"/>
            <w:gridSpan w:val="15"/>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9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540" w:type="dxa"/>
            <w:vAlign w:val="bottom"/>
            <w:tcBorders>
              <w:top w:val="single" w:sz="8" w:color="CCEEFF"/>
            </w:tcBorders>
            <w:gridSpan w:val="12"/>
            <w:shd w:val="clear" w:color="auto" w:fill="CCEEFF"/>
          </w:tcPr>
          <w:p>
            <w:pPr>
              <w:jc w:val="center"/>
              <w:ind w:right="5080"/>
              <w:spacing w:after="0" w:line="15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Business</w:t>
            </w:r>
          </w:p>
        </w:tc>
        <w:tc>
          <w:tcPr>
            <w:tcW w:w="9000" w:type="dxa"/>
            <w:vAlign w:val="bottom"/>
            <w:tcBorders>
              <w:bottom w:val="single" w:sz="8" w:color="CCEEFF"/>
            </w:tcBorders>
            <w:gridSpan w:val="29"/>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6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7600" w:type="dxa"/>
            <w:vAlign w:val="bottom"/>
            <w:tcBorders>
              <w:top w:val="single" w:sz="8" w:color="CCEEFF"/>
            </w:tcBorders>
            <w:gridSpan w:val="18"/>
          </w:tcPr>
          <w:p>
            <w:pPr>
              <w:spacing w:after="0"/>
              <w:rPr>
                <w:sz w:val="15"/>
                <w:szCs w:val="15"/>
                <w:color w:val="auto"/>
              </w:rPr>
            </w:pPr>
          </w:p>
        </w:tc>
        <w:tc>
          <w:tcPr>
            <w:tcW w:w="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0" w:type="dxa"/>
            <w:vAlign w:val="bottom"/>
            <w:gridSpan w:val="14"/>
            <w:shd w:val="clear" w:color="auto" w:fill="CCEEFF"/>
          </w:tcPr>
          <w:p>
            <w:pPr>
              <w:jc w:val="center"/>
              <w:ind w:right="5000"/>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II</w:t>
            </w: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15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80" w:type="dxa"/>
            <w:vAlign w:val="bottom"/>
            <w:tcBorders>
              <w:bottom w:val="single" w:sz="8" w:color="CCEEFF"/>
            </w:tcBorders>
            <w:gridSpan w:val="4"/>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6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6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7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880" w:type="dxa"/>
            <w:vAlign w:val="bottom"/>
            <w:tcBorders>
              <w:top w:val="single" w:sz="8" w:color="CCEEFF"/>
            </w:tcBorders>
            <w:gridSpan w:val="20"/>
          </w:tcPr>
          <w:p>
            <w:pPr>
              <w:spacing w:after="0"/>
              <w:rPr>
                <w:sz w:val="15"/>
                <w:szCs w:val="15"/>
                <w:color w:val="auto"/>
              </w:rPr>
            </w:pPr>
          </w:p>
        </w:tc>
        <w:tc>
          <w:tcPr>
            <w:tcW w:w="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320" w:type="dxa"/>
            <w:vAlign w:val="bottom"/>
            <w:gridSpan w:val="15"/>
            <w:shd w:val="clear" w:color="auto" w:fill="CCEEFF"/>
          </w:tcPr>
          <w:p>
            <w:pPr>
              <w:jc w:val="center"/>
              <w:ind w:right="4280"/>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540" w:type="dxa"/>
            <w:vAlign w:val="bottom"/>
            <w:tcBorders>
              <w:bottom w:val="single" w:sz="8" w:color="CCEEFF"/>
            </w:tcBorders>
            <w:gridSpan w:val="12"/>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360" w:type="dxa"/>
            <w:vAlign w:val="bottom"/>
            <w:tcBorders>
              <w:top w:val="single" w:sz="8" w:color="CCEEFF"/>
            </w:tcBorders>
            <w:gridSpan w:val="2"/>
          </w:tcPr>
          <w:p>
            <w:pPr>
              <w:spacing w:after="0"/>
              <w:rPr>
                <w:sz w:val="15"/>
                <w:szCs w:val="15"/>
                <w:color w:val="auto"/>
              </w:rPr>
            </w:pPr>
          </w:p>
        </w:tc>
        <w:tc>
          <w:tcPr>
            <w:tcW w:w="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6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600" w:type="dxa"/>
            <w:vAlign w:val="bottom"/>
            <w:gridSpan w:val="14"/>
            <w:shd w:val="clear" w:color="auto" w:fill="CCEEFF"/>
          </w:tcPr>
          <w:p>
            <w:pPr>
              <w:jc w:val="center"/>
              <w:ind w:right="5020"/>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Part IV</w:t>
            </w: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96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 and Financial Statement Schedules</w:t>
            </w:r>
          </w:p>
        </w:tc>
        <w:tc>
          <w:tcPr>
            <w:tcW w:w="6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30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6560" w:type="dxa"/>
            <w:vAlign w:val="bottom"/>
            <w:tcBorders>
              <w:top w:val="single" w:sz="8" w:color="CCEEFF"/>
            </w:tcBorders>
            <w:gridSpan w:val="16"/>
          </w:tcPr>
          <w:p>
            <w:pPr>
              <w:spacing w:after="0"/>
              <w:rPr>
                <w:sz w:val="15"/>
                <w:szCs w:val="15"/>
                <w:color w:val="auto"/>
              </w:rPr>
            </w:pPr>
          </w:p>
        </w:tc>
        <w:tc>
          <w:tcPr>
            <w:tcW w:w="62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9640" w:type="dxa"/>
            <w:vAlign w:val="bottom"/>
            <w:gridSpan w:val="30"/>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9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8"/>
          </w:tcPr>
          <w:p>
            <w:pPr>
              <w:jc w:val="center"/>
              <w:ind w:right="4960"/>
              <w:spacing w:after="0"/>
              <w:rPr>
                <w:sz w:val="20"/>
                <w:szCs w:val="20"/>
                <w:color w:val="auto"/>
              </w:rPr>
            </w:pPr>
            <w:r>
              <w:rPr>
                <w:rFonts w:ascii="Times New Roman" w:cs="Times New Roman" w:eastAsia="Times New Roman" w:hAnsi="Times New Roman"/>
                <w:sz w:val="18"/>
                <w:szCs w:val="18"/>
                <w:color w:val="auto"/>
              </w:rPr>
              <w:t>i</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of the statements contained in this annual report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3" w:lineRule="exact"/>
        <w:rPr>
          <w:sz w:val="20"/>
          <w:szCs w:val="20"/>
          <w:color w:val="auto"/>
        </w:rPr>
      </w:pPr>
    </w:p>
    <w:p>
      <w:pPr>
        <w:ind w:left="960" w:hanging="33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and services;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markets;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additional capital;</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and</w:t>
      </w:r>
    </w:p>
    <w:p>
      <w:pPr>
        <w:spacing w:after="0" w:line="225" w:lineRule="exact"/>
        <w:rPr>
          <w:rFonts w:ascii="Times New Roman" w:cs="Times New Roman" w:eastAsia="Times New Roman" w:hAnsi="Times New Roman"/>
          <w:sz w:val="18"/>
          <w:szCs w:val="18"/>
          <w:color w:val="auto"/>
        </w:rPr>
      </w:pPr>
    </w:p>
    <w:p>
      <w:pPr>
        <w:ind w:left="960" w:hanging="331"/>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captions “Business,” “Risk Factors,” and “Management’s Discussion and Analysis of Financial Condition and Results of Operations.”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Business section, along with other sections of this annual report on Form 10-K,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While we believe that these industry publications and third-party research, surveys and studies are reliable, we have not independently verified such data and we do not make any representation as to the accuracy of the information. Unless the context otherwise requires, “Hour Loop,” “we,” “us,” “our,” or the “Company” refers to Hour Loop, Inc., together with Flywheel Consulting Limited, its wholly owned subsidiary (“Flywheel”).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are an online retailer engaged in e-commerce retailing in the U.S. market. We have operated as a third-party seller on </w:t>
      </w:r>
      <w:r>
        <w:rPr>
          <w:rFonts w:ascii="Times New Roman" w:cs="Times New Roman" w:eastAsia="Times New Roman" w:hAnsi="Times New Roman"/>
          <w:sz w:val="18"/>
          <w:szCs w:val="18"/>
          <w:i w:val="1"/>
          <w:iCs w:val="1"/>
          <w:color w:val="auto"/>
        </w:rPr>
        <w:t>www.amazon.com</w:t>
      </w:r>
      <w:r>
        <w:rPr>
          <w:rFonts w:ascii="Times New Roman" w:cs="Times New Roman" w:eastAsia="Times New Roman" w:hAnsi="Times New Roman"/>
          <w:sz w:val="18"/>
          <w:szCs w:val="18"/>
          <w:color w:val="auto"/>
        </w:rPr>
        <w:t xml:space="preserve"> (“Amazon”) since 2013, and on </w:t>
      </w:r>
      <w:r>
        <w:rPr>
          <w:rFonts w:ascii="Times New Roman" w:cs="Times New Roman" w:eastAsia="Times New Roman" w:hAnsi="Times New Roman"/>
          <w:sz w:val="18"/>
          <w:szCs w:val="18"/>
          <w:i w:val="1"/>
          <w:iCs w:val="1"/>
          <w:color w:val="auto"/>
        </w:rPr>
        <w:t>www.walmart.com</w:t>
      </w:r>
      <w:r>
        <w:rPr>
          <w:rFonts w:ascii="Times New Roman" w:cs="Times New Roman" w:eastAsia="Times New Roman" w:hAnsi="Times New Roman"/>
          <w:sz w:val="18"/>
          <w:szCs w:val="18"/>
          <w:color w:val="auto"/>
        </w:rPr>
        <w:t xml:space="preserve"> (“Walmart”) since 2020. We have also sold merchandise on our website at </w:t>
      </w:r>
      <w:r>
        <w:rPr>
          <w:rFonts w:ascii="Times New Roman" w:cs="Times New Roman" w:eastAsia="Times New Roman" w:hAnsi="Times New Roman"/>
          <w:sz w:val="18"/>
          <w:szCs w:val="18"/>
          <w:i w:val="1"/>
          <w:iCs w:val="1"/>
          <w:color w:val="auto"/>
        </w:rPr>
        <w:t>www.hourloop.com</w:t>
      </w:r>
      <w:r>
        <w:rPr>
          <w:rFonts w:ascii="Times New Roman" w:cs="Times New Roman" w:eastAsia="Times New Roman" w:hAnsi="Times New Roman"/>
          <w:sz w:val="18"/>
          <w:szCs w:val="18"/>
          <w:color w:val="auto"/>
        </w:rPr>
        <w:t xml:space="preserve"> since 2013. To date, we have generated practically all of our revenue as a third-party seller on Amazon and only a negligible amount of revenue from our operations on our website at </w:t>
      </w:r>
      <w:r>
        <w:rPr>
          <w:rFonts w:ascii="Times New Roman" w:cs="Times New Roman" w:eastAsia="Times New Roman" w:hAnsi="Times New Roman"/>
          <w:sz w:val="18"/>
          <w:szCs w:val="18"/>
          <w:i w:val="1"/>
          <w:iCs w:val="1"/>
          <w:color w:val="auto"/>
        </w:rPr>
        <w:t>www.hourloop.com</w:t>
      </w:r>
      <w:r>
        <w:rPr>
          <w:rFonts w:ascii="Times New Roman" w:cs="Times New Roman" w:eastAsia="Times New Roman" w:hAnsi="Times New Roman"/>
          <w:sz w:val="18"/>
          <w:szCs w:val="18"/>
          <w:color w:val="auto"/>
        </w:rPr>
        <w:t xml:space="preserve"> and as a third-party seller on Walmart. We manage more than 100,000 stock-keeping units (“SKUs”). Product categories include home/garden décor, toys, kitchenware, apparel, and electronics. Our primary strategy is to bring most of our vendors’ product selections to the customers. We have advanced software that assists us in identifying product gaps so we can keep such products in stock year-round including the entirety of the fourth quarter (holiday season) of the calendar year. In upcoming years, we plan to expand our business rapidly by increasing the number of business managers, vendors and SKUs.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three main types of business models on Amazon: wholesale, private label and retail arbitrage. Our business model is wholesale, also known as reselling, which refers to buying products in bulk directly from the brand or manufacturer at a wholesale price and making a profit by selling the product on Amazon. We sell merchandise on Amazon and the sales are fulfilled by Amazon. We pay Amazon fees for allowing us to sell on their platform. Our relationship with Walmart is also similar. We pay Walmart fees for allowing us to sell our merchandise on their platform. As stated above, to date, we have generated only a negligible amount of revenues as a third-party seller on Walmart.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advantages of selling via a wholesale model include the following:</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lower unit quantities with wholesale orders than private label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wholesale is less time intensive and easier to scale than sourcing products via retail arbitrage.</w:t>
      </w:r>
    </w:p>
    <w:p>
      <w:pPr>
        <w:spacing w:after="0" w:line="9" w:lineRule="exact"/>
        <w:rPr>
          <w:rFonts w:ascii="Times New Roman" w:cs="Times New Roman" w:eastAsia="Times New Roman" w:hAnsi="Times New Roman"/>
          <w:sz w:val="18"/>
          <w:szCs w:val="18"/>
          <w:color w:val="auto"/>
        </w:rPr>
      </w:pPr>
    </w:p>
    <w:p>
      <w:pPr>
        <w:ind w:left="660" w:right="4060" w:hanging="328"/>
        <w:spacing w:after="0" w:line="49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brands will want to work with us because we can provide broader Amazon presence. The challenges of selling via a wholesale model include the following:</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Fierce competition on listing for Buy Box on Amazon (as described below).</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relationships with brand manufacturers.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were founded in 2013 by Sam Lai, our Chairman of the Board, Chief Executive Officer, interim Chief Financial Officer and significant stockholder, and Maggie Yu, our Senior Vice President, a member of our Board of Directors and a significant stockholder. Mr. Lai and Ms. Yu are husband and wife. With their vision, leadership, and software development skills, the Company grew rapidly. From 2013 to 2025, net sales grew from $0 to $142,440,236.</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originally incorporated under the laws of the State of Washington on January 13, 2015. In 2019, we formed Flywheel, a wholly owned subsidiary, to provide business operating consulting services exclusively to Hour Loop. On April 7, 2021, Hour Loop converted from a Washington corporation to a Delaware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Advantage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the approximately 1.9 million active third-party sellers on Amazon, we believe we have two main competitive advantages:</w:t>
      </w:r>
    </w:p>
    <w:p>
      <w:pPr>
        <w:spacing w:after="0" w:line="225" w:lineRule="exact"/>
        <w:rPr>
          <w:sz w:val="20"/>
          <w:szCs w:val="20"/>
          <w:color w:val="auto"/>
        </w:rPr>
      </w:pPr>
    </w:p>
    <w:p>
      <w:pPr>
        <w:ind w:left="960" w:hanging="331"/>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we have strong operations and sales teams experienced in listing, shipment, advertising, reconciliation and sales. By delivering high quality results and enhancing procedures through the process, our teams are competitive.</w:t>
      </w:r>
    </w:p>
    <w:p>
      <w:pPr>
        <w:spacing w:after="0" w:line="161" w:lineRule="exact"/>
        <w:rPr>
          <w:rFonts w:ascii="Times New Roman" w:cs="Times New Roman" w:eastAsia="Times New Roman" w:hAnsi="Times New Roman"/>
          <w:sz w:val="18"/>
          <w:szCs w:val="18"/>
          <w:color w:val="auto"/>
        </w:rPr>
      </w:pPr>
    </w:p>
    <w:p>
      <w:pPr>
        <w:jc w:val="both"/>
        <w:ind w:left="960" w:hanging="331"/>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we believe our proprietary software system gives us an advantage over our competition. The system is highly customized to our business model; it collects and processes large amounts of data every day to optimize our operation and sales. Through advanced software, we can identify product gaps and keep them in stock all year round.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our advertising strategy, we advertise those products that we estimate will have greater demand based on our experience. This lets us allocate our advertising budget in a fashion that delivers positive value. We advertise our products on Amazon and allocate our advertising dollars prudently. This is accomplished by advertising items that deliver the most return for our advertising spending. We monitor the items being advertised by our competitors. On the operations side, we constantly refine our processes based on learnings from historical data. The combination of managing the business operations effectively, along with allocating our advertising budget to high value items, allows us to grow profitably. In cases where advertising is fierce, we allocate spending appropriately. Our strategy for competing with larger competitors is to monitor their pricing and not compete with them when their pricing is low or at a loss. Competitors sell at low prices or at a loss due to a variety of reasons, including, but not limited to, their desire to liquidate inventory or achieve a short-term increase in revenue. During these times, we avoid matching their prices. This strategy allows us to stay profitable.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 Impact and Response Measures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first quarter ended March 31, 2025, the U.S. presidential administration’s announcement of additional tariff increases—particularly on China-origin goods—introduced elevated volatility and uncertainty across global supply chains. In response, the Company undertook a strategic reassessment of its procurement and inventory management policies, anticipating both rising import costs and the risk of inventory shortages driven by accelerated market stockpiling.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Throughout 2025, the Company navigated a volatile trade environment characterized by expansive tariffs on China-origin goods. To mitigate these impacts, we successfully front-loaded approximately 3-6 months of sales-related inventory and adjusted our international commercial terms (“Incoterms”) to ensure supply chain stability. Although the Incoterms adjustment resulted in higher overall costs, it ensured continuity and stability across our supply chain.</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parallel, the Company initially suspended all containerized exports for shipments originating from China when the new tariff policy was originally enacted, as we were unwilling to incur significantly higher import costs. Following the implementation of a 90-day tariff relief window under a temporary U.S.-China trade agreement, we promptly resumed exports and front-loaded the remainder of our 2025 sales-related inventory within that window. This approach allowed us to avoid elevated duties, while reducing exposure to future trade uncertainties in a still-fluid regulatory environment.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offset increased input costs and reduce the risk of stockouts, we implemented measured price increases on select finished goods inventory.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actions were designed to support margin stability and ensure product availability in a highly dynamic trade environment.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proactive measures successfully enabled the Company to secure adequate inventory to meet its 2025 sales projection. However, the regulatory landscape shifted fundamentally in the first quarter of 2026. On February 20, 2026, the U.S. Supreme Court ruled that the International Emergency Economic Powers Act (“IEEPA”) does not authorize the imposition of tariffs, effectively invalidating the 2025 reciprocal tariff regime. While the Company is evaluating the potential for retroactive refunds of duties paid in 2025, the U.S. administration immediately transitioned to a new tariff framework.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February 24, 2026, U.S. President Donald Trump invoked Section 122 of the Trade Act of 1974, as amended (the “Trade Act”), imposing a temporary 10% global import surcharge on most goods entering the United States for an initial period of 150 days. Additionally, the administration continued the suspension of the “de minimis” exemption for low-value shipments ($800 or less), which now requires formal entry and payment of duties on all parcels, including those from China.</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on March 11, 2026, the Office of the U.S. Trade Representative (the “USTR”) self-initiated new Section 301 investigations into manufacturing overcapacity and forced labor across 16 economies, including China. These investigations could result in significant, non-timebound tariffs that may replace or exceed the current 10% surcharge.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our proactive 2025 inventory positioning provided a temporary buffer, these 2026 developments—specifically the Section 122 surcharge and the increased compliance costs associated with the loss of de minimis treatment—are expected to increase our landed costs. We continue to monitor these fluid trade policy developments and may implement further price adjustments or supply chain diversifications to maintain margin stability.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year end net revenues and net income (loss) from 2013 through 2025 is presented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Year-over</w:t>
            </w:r>
          </w:p>
        </w:tc>
      </w:tr>
      <w:tr>
        <w:trPr>
          <w:trHeight w:val="216"/>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Year-over-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-Year %</w:t>
            </w:r>
          </w:p>
        </w:tc>
      </w:tr>
      <w:tr>
        <w:trPr>
          <w:trHeight w:val="216"/>
        </w:trPr>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5"/>
              </w:rPr>
              <w:t>Year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8"/>
        </w:trPr>
        <w:tc>
          <w:tcPr>
            <w:tcW w:w="2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3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3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(Loss) %</w:t>
            </w:r>
          </w:p>
        </w:tc>
        <w:tc>
          <w:tcPr>
            <w:tcW w:w="4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20" w:type="dxa"/>
            <w:vAlign w:val="bottom"/>
            <w:tcBorders>
              <w:bottom w:val="single" w:sz="8" w:color="CCEEFF"/>
            </w:tcBorders>
          </w:tcPr>
          <w:p>
            <w:pPr>
              <w:spacing w:after="0"/>
              <w:rPr>
                <w:sz w:val="20"/>
                <w:szCs w:val="20"/>
                <w:color w:val="auto"/>
              </w:rPr>
            </w:pPr>
          </w:p>
        </w:tc>
      </w:tr>
      <w:tr>
        <w:trPr>
          <w:trHeight w:val="210"/>
        </w:trPr>
        <w:tc>
          <w:tcPr>
            <w:tcW w:w="2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2013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26,135</w:t>
            </w:r>
          </w:p>
        </w:tc>
        <w:tc>
          <w:tcPr>
            <w:tcW w:w="3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3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2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2014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1,102,237</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150,300</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3110%</w:t>
            </w:r>
          </w:p>
        </w:tc>
      </w:tr>
      <w:tr>
        <w:trPr>
          <w:trHeight w:val="216"/>
        </w:trPr>
        <w:tc>
          <w:tcPr>
            <w:tcW w:w="2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2,567,267</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228,009</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2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7,337,012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77,752</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2017</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17,487,124</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(122,176)</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2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2018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24,402,144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657,821</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2019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26,564,693</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(423,073)</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2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2020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38,655,264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3,820,698</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2021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62,792,981</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4,783,773</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2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95,930,091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(1,477,623)</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2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132,124,202</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(2,429,694)</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218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138,252,861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657,447</w:t>
            </w: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142,440,236</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1,704,849</w:t>
            </w:r>
          </w:p>
        </w:tc>
        <w:tc>
          <w:tcPr>
            <w:tcW w:w="1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2025 and 2024, approximately 98% and 99%, respectively, of our revenue was through or with the Amazon sales platform. As noted in our consolidated financial statements, as of December 31, 2025, we had retained earnings of $1,109,674.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Pricing Strategy and Policies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an ideal world, we would like to price our products at key stone pricing or double wholesale cost. However, we operate in a hyper competitive environment and we must stay competitive. Therefore, we must draw a good balance between gross margin and revenue. Our main objectives focus on increasing volume and maximizing profits, which is achieved with a customized auto pricing system we developed internally, in combination with well-trained business managers’ judgment on pricing skills, as well as constant monitoring. One principal feature of the pricing system is that it automatically syncs public data of competing offers from Amazon regularly, so business managers can make price settings and adjustments based on accurate data, and thus be able to set optimal selling prices for products. In addition, the system is constantly improved with new features and optimizations.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a high level, our automated pricing tool helps us stay competitive while our business managers mainly focus on increasing gross margins. Our proprietary repricing tool analyzes sales trends, projected sales, inventory age, inventory cost, potential profits, Fulfillment by Amazon (“FBA”) fees, competing offers, and seasonality and determines an urgency level, then depending on the level of urgency, it automatically adjusts prices accordingly.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Business managers, after establishing the bases for prices, begin to develop pricing strategies for each product, while taking current market conditions and Company goals (e.g., increasing short-term or long-term profits) and strategies into consideration. Furthermore, business managers consider different marketing segments, such as costs and competition, in order to develop effective pricing strategies and policies.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subsections provide more insight into various pricing strategies we have developed over the years. Our internal training mainly focuses on competition-based pricing policy and value-based pricing policy.</w:t>
      </w:r>
    </w:p>
    <w:p>
      <w:pPr>
        <w:spacing w:after="0" w:line="158" w:lineRule="exact"/>
        <w:rPr>
          <w:sz w:val="20"/>
          <w:szCs w:val="20"/>
          <w:color w:val="auto"/>
        </w:rPr>
      </w:pPr>
    </w:p>
    <w:p>
      <w:pPr>
        <w:jc w:val="both"/>
        <w:ind w:left="660" w:right="2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Competition-Based Pricing Policy: </w:t>
      </w:r>
      <w:r>
        <w:rPr>
          <w:rFonts w:ascii="Times New Roman" w:cs="Times New Roman" w:eastAsia="Times New Roman" w:hAnsi="Times New Roman"/>
          <w:sz w:val="18"/>
          <w:szCs w:val="18"/>
          <w:color w:val="auto"/>
        </w:rPr>
        <w:t>15% of our products are toys, which are extremely popular and competitive. In this type of environment,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volume is high but gross margin is low, our main strategy is to purchase large quantities, so we can increase sales volume and price competitively while maintaining an average return on investment (“ROI”) of at least 15%. We are using the competition-based pricing policy to match competitors’ prices, which means constantly winning Buy Box (as described below). Our pricing system is capable of automatically matching all Buy Box.</w:t>
      </w:r>
    </w:p>
    <w:p>
      <w:pPr>
        <w:spacing w:after="0" w:line="179"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Promotional Pricing Policy: </w:t>
      </w:r>
      <w:r>
        <w:rPr>
          <w:rFonts w:ascii="Times New Roman" w:cs="Times New Roman" w:eastAsia="Times New Roman" w:hAnsi="Times New Roman"/>
          <w:sz w:val="18"/>
          <w:szCs w:val="18"/>
          <w:color w:val="auto"/>
        </w:rPr>
        <w:t>To boost lagging sales, we adapted our own promotional pricing policy, which involves offering modest discounts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products with inventory age over 45 days, which proves to be cost-effective at reducing the number of low turn-over SKUs.</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Value-Based Pricing Policy: </w:t>
      </w:r>
      <w:r>
        <w:rPr>
          <w:rFonts w:ascii="Times New Roman" w:cs="Times New Roman" w:eastAsia="Times New Roman" w:hAnsi="Times New Roman"/>
          <w:sz w:val="18"/>
          <w:szCs w:val="18"/>
          <w:color w:val="auto"/>
        </w:rPr>
        <w:t>We incorporate a value-based pricing strategy when inventories are constrained, which can happen when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suddenly spikes due to external factors, supply shortage, or seasonal spikes. We set prices to reflect the value perceived by customers, especially on products under gift categories when consumer demands are higher. Contrary to a typical seller, we opt to maintain high gross margin instead of marking down prices and running special deals during the high-demand season during Q4. Therefore, business managers can achieve increases in both sales and high average ROI of 40%.</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Buy Box on </w:t>
      </w:r>
      <w:r>
        <w:rPr>
          <w:rFonts w:ascii="Times New Roman" w:cs="Times New Roman" w:eastAsia="Times New Roman" w:hAnsi="Times New Roman"/>
          <w:sz w:val="18"/>
          <w:szCs w:val="18"/>
          <w:i w:val="1"/>
          <w:iCs w:val="1"/>
          <w:color w:val="auto"/>
        </w:rPr>
        <w:t>amazon.com</w:t>
      </w:r>
      <w:r>
        <w:rPr>
          <w:rFonts w:ascii="Times New Roman" w:cs="Times New Roman" w:eastAsia="Times New Roman" w:hAnsi="Times New Roman"/>
          <w:sz w:val="18"/>
          <w:szCs w:val="18"/>
          <w:color w:val="auto"/>
        </w:rPr>
        <w:t xml:space="preserve"> is the top right section on a product page where customers can directly add items to their shopping carts. Since many sellers on </w:t>
      </w:r>
      <w:r>
        <w:rPr>
          <w:rFonts w:ascii="Times New Roman" w:cs="Times New Roman" w:eastAsia="Times New Roman" w:hAnsi="Times New Roman"/>
          <w:sz w:val="18"/>
          <w:szCs w:val="18"/>
          <w:i w:val="1"/>
          <w:iCs w:val="1"/>
          <w:color w:val="auto"/>
        </w:rPr>
        <w:t>amazon.com</w:t>
      </w:r>
      <w:r>
        <w:rPr>
          <w:rFonts w:ascii="Times New Roman" w:cs="Times New Roman" w:eastAsia="Times New Roman" w:hAnsi="Times New Roman"/>
          <w:sz w:val="18"/>
          <w:szCs w:val="18"/>
          <w:color w:val="auto"/>
        </w:rPr>
        <w:t xml:space="preserve"> can sell the same product, they must compete to “win the Buy Box” for a certain product. Winning the Amazon Buy Box simply means that you were chosen for the Buy Box placement. When you win this placement, customers have a button to directly add your product to their carts, giving you an advantage over competing sellers. For a seller to be eligible for the Buy Box, they must meet a set of performance-based requirements, including order defect rate, customer shopping experience, time and experience on the Amazon selling platform, and status as a professional seller.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Overview of Market &amp; Competition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Marketplace Pulse (based on U.S. Census Bureau data), total U.S. retail sales increased 3.5% to approximately $7.68 trillion in 2025, from $7.42 trillion in 2024. Consumers spent $1,233.7 billion online with U.S. merchants in 2025, which represents approximately 16.4% of total U.S. retail sales for the year, compared to 16.07% in 2024.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Amazon is estimated to account for approximately 40.4% of all U.S. e-commerce sales, according to third-party industry analyses, making it the largest e-commerce retailer currently in the market.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2025, total U.S. e-commerce sales reached $1,233.7 billion, representing a 3.4% year-over-year increase from $1,192.6 billion in 2024. This is less than the U.S. e-commerce growth rate of 2024, during which total sales increased by 6.6% year-over-year from 2023. Despite the slowdown, total U.S. e-commerce sales in 2025 still marked the highest on record. This is an impressive increase from 2011, when online sales in the U.S. totaled $199.3 billion. A year later, it breached the $200 billion mark for the very first time. From 2011 to 2025, annual U.S. e-commerce sales multiplied by approximately 7.6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128270</wp:posOffset>
            </wp:positionV>
            <wp:extent cx="6060440" cy="2451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604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Target Market Size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Addressable Market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an e-commerce company retailing in the U.S. market, our total addressable market covers all U.S. residents with Internet access, which segmentally includes repeat customers and new customers to online shopping every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of E-commerce vs. Total Retail Sales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According to U.S. Department of Commerce (U.S. Census Bureau) data, e-commerce’s share of total U.S. retail sales has steadily increased over time, peaking at 16.4% in the second quarter of 2020. By the fourth quarter of 2024, it accounted for 16.4% in total retail sales, and this share remained essentially unchanged into 2025 based on the most recent quarterly data. Total U.S. retail sales increased 3.5% to approximately $7.68 trillion in 2025, from $7.42 trillion in 2024. Consumers spent $1,233.7 billion online with U.S. merchants in 2025, which represents approximately 16.4% of total U.S. retail sales for the year, compared to 16.07% in 2024.</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Amazon is estimated to account for approximately 40.4% of all U.S. e-commerce sales, according to third-party industry analyses, making it the largest e-commerce retailer currently in the market.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Growth of Amazon Prime Members</w:t>
      </w:r>
    </w:p>
    <w:p>
      <w:pPr>
        <w:spacing w:after="0" w:line="2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Amazon has over 180 million Prime members in the U.S., and we were seeing continuous year over year growth over the past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Advantages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18, 2026, Hour Loop was recognized as number 25 in Marketplace Pulse’s Top Amazon Marketplace Sellers list based on positive reviews received in the last 30 days among U.S. Amazon sellers, highlighting its continued growth, industry leadership, and outstanding sales performance.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Automation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developed proprietary software that is tailor-made to all our operational needs. This includes managing order review process, shipment management, inventory management, accounting, and complete end-to-end third-party integrations. This allows us to scale, reduce cost, and improve quality.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Profitability Management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operations managers tracking team performances with key performance indicators. We have departments specializing in logistic costs, advertising, marketing, and product management. We hold monthly process reviews to identify early red flags and look for areas to optimize. Each quarter, we set increasingly difficult bars with the goals of growing gross margin and further reducing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Continuous Process Optimization</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order to improve operating efficiencies, we have effective process optimization adapting to the changing policies of the e-commerce marketplace. We continuously analyze our performance based on data. We conduct pricing reviews, inventory planning and profitability analysis using this data. This analysis provides us with insights on the processes that add the most value. Using these insights, we develop guidelines that help us improve our operations. These guidelines are incorporated into our operations which include (but are not limited to), identifying and ordering at optimal inventory levels, managing merchandise storage costs, optimizing transit times, and pricing at appropriate levels. Our operations staff follows these guidelines which help them perform optimally. By continuously analyzing data, we are able to find insights for improving our business. This drives continuous process optimization and its implementation into our operations. In addition, our proprietary software allows us to continually accelerate process effectiveness based on specific requirements. Over time, our system eliminates unnecessary procedures that could be replaced by an advanced algorithm. For instance, we simplify the FBA shipment process through application programming interface (“API”) integration. Our self-developed system also tracks insightful analysis of our profitability, clearer visualizes the drivers and optimums to better manage operational costs. We monitor operational parameters that drive our business and proactively try to optimize them. These include fine tuning our item selection, managing our inventory levels, estimating demand and pricing to maximize our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Data-Driven Approach</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make decisions based on analysis and interpretation of the data sets rather than observations over the market trend. By standardizing processes and combine data-driven management, we can ensure the organization maintains consistency that is high quality. Our business managers use historical data and sales projection provided by our proprietary software to find potential product gaps and keep products in stock all year round. This advantage enables powerful predictive insights in correlating real-time data with past sales patterns.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Programs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effective training programs accelerate employees’ professional development and enable the Company to hire new graduates or people without experience. Our training programs are very task-specific and we continually improve the materials in order to fit new industry needs. Other than the training material, we assign mentors to evaluate and monitor trainees’ performance at each stage of the training program.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Task Generalization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generalizing each task with a standard process, we are able to shift assignments at regular intervals in order to find the most suitable employee for each specific task. Moreover, business managers are also able to rotate the vendors they manage easily. This allows our organization to effectively and consistently manage a vendor when a key employee who previously managed such vendor is no longer with the company. In addition, the task generalization allows us to hire remote teams to further reduce labor costs.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Multicultural Management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 multicultural management team that is linguistically and culturally diverse in order to make judgments from different perspectives. Our remote teams in Taiwan and the Philippines provide diverse professional insights on specific tasks.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Technological advantages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software architecture was designed from the ground up to be scalable, secured, and easily extensible. By using JRuby on Rails, we can make use of the best parts of Java, Ruby, and Rails without paying for their disadvantages. For example, we can use the massive collections of Java library, portability, speed, multi-threading, and maturity, but we do not have to be tied down with verbose code and strict typing. Rails allow us to quickly build web pages and integrate both the frontend and the backend. The application runs on Amazon Web Services (“AWS”) and can be easily scaled up to as many hosts as needed. It is accessible from a browser, so there is no need to set up or install anything on the client-side.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Advantage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Access to Low Product Costs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lower our product average costs by directly importing items that have high volume, purchasing in bulk with better prices, and negotiating discounts or rebates over increased purchase volume every year. Our strong growth of purchasing every year allows us to negotiate better discounts than the rivals. Therefore, we have the cost advantages to compete at low prices.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Efficient Processes and Technologies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proprietary software allows us to tailor make tools based on our specific use cases and leverage technologies to greatly reduce manual operations. We also saved the expense of using third-party software in managing inventory, orders, product listings, and especially the advertising analytic tool.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Low Distribution and Logistic costs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saved the cost of managing the warehouse, shipping, and product distribution as we are enrolled in Amazon’s FBA program. The program allows us to reduce fixed costs of the physical assets and quickly scale up the business without thinking much about infrastructure complexity. Apart from using the FBA program, we also use FedEx, Amazon partnered carrier, Amazon Freight, and Amazon Global Logistics to reduce expense. The competitive shipping rates we secured provide us a cost-efficient way to deliver shipments from overseas and domestic to Amazon warehouse.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Efficiently Managed Operations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a good management structure within the firm and a data-driven system that allows employees to manage tasks quickly and cost-efficiently.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Reduced Labor Costs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leverage third-party logistic companies to prepare and forward our shipments to Amazon, which reduces our logistic operation labor costs. In addition, we work with a labor outsourcing partner in the Philippines that supplies virtual assistants to support data entry and other routine, repetitive operational tasks in a highly cost-effective manner.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Competitors by Market Size/Share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key competitor is Amazon Retail. Amazon Retail frequently buys from the same brands we sell and sells them at a loss. Amazon Retail offers can be identified by the “Sold by Amazon” tag on Amazon’s site, and they are formed by two components: (i) Amazon Vendor Central, and (ii) the Sold by Amazon (“SBA”) program. We do not consider other third-party sellers as key competitors, because none of them represents enough market share to influence sales outcome. The addressable market is incredibly vast; thus, we believe there are plenty of opportunities for everyone.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Amazon Vendor Central</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Amazon Vendor Central allows manufacturers and brand owners to sell directly to Amazon as a first-party seller. This is one of the key competitive factors as Amazon usually buys bulk from the brands and sells at a very low price, which leads to hyper-competitive pricing. On pricing control, Amazon does not always follow the minimum advertised pricing (“MAP”) guidelines from manufacturers, which also puts us at a disadvantage when selling the same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Sold by Amazon Program</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the rise of e-commerce platforms, Amazon is looking for opportunities to attract customers away from its retail store rivals. In 2019, Amazon rolled out its new SBA program to help sellers grow their business. This program gives brand owners the control of inventory management and listings with Amazon having the authority to constantly monitor and change the price to make sure customers are getting the best deals. Once the products are enrolled in the SBA program, Amazon will set the minimum gross proceeds (“MGP”) to pay sellers the lowest possible amount on each unit sold. This new program is another threat to our company as Amazon is the one taking control of pricing, and they set the price very low in order to compete with competitors’ low price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Competitor Strengths and Weaknesses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Strengths of Sold by Amazon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First, ship from and SBA creates competition for potential customers who prefer to buy products from Amazon rather than a third-party seller. Secondly, Amazon monitors and manages pricing which makes the product price range at a highly competitive level. In fact, the chance of Amazon winning Buy Box is even higher as they have the best deal for customers. Finally, Amazon is not restricted by its policy to third-party sellers. One of the critical policies is the restock limit. Amazon limits certain items’ restock quantities based on recent sales activity, and this affects the in-stock rate of popular items that needs a greater volume.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Weaknesses of Sold by Amazon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Amazon focuses on sales more than relationships with vendors, they do not follow vendors’ MAP strictly. We believe this has led to the devaluation of brands and will have a negative impact on building a long-term relationship with the vendors. Once the vendor hands over their price control to Amazon, we believe it is unlikely for them to sell at their original target price further, and it influences their offline sales. And in fact, it makes a huge difference in profitability to both Amazon and the vendor when reacting to the competitive pricing changes.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Apart from the weaknesses of business relationships, we believe Amazon also has disadvantages in niche marketplaces, where product offerings are narrower and more personalized. As a third-party seller, we cooperate with vendors in developing custom projects that bring product differentiation and scarcity effect. However, we believe Amazon only concentrates on the masses, which gives them the deficiency of having products that are targeted in certain market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Substitute Products Posing Credible Threat to Company Products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believe there are any potential substitute products that would pose a credible threat to us, as we have developed wide product diversification.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we focus on reselling wholesale products, we have the resilience to find substitution of products or brands. We established product diversification by managing a wide range of SKUs and continually expanding our product categories. Our business strategy allows us to mitigate risk and generate significant profit by selling low volumes items diversified across a large variety of products.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contrast, private label sellers manage a small number of SKUs that have large volumes in return with higher profit per unit. However, private labels have much higher risk when experiencing stagnant or declining sales as they would have lower capability to find sales replacements that are already established.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 of Barriers to Entry</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Higher Capital, Lower Margin: </w:t>
      </w:r>
      <w:r>
        <w:rPr>
          <w:rFonts w:ascii="Times New Roman" w:cs="Times New Roman" w:eastAsia="Times New Roman" w:hAnsi="Times New Roman"/>
          <w:sz w:val="18"/>
          <w:szCs w:val="18"/>
          <w:color w:val="auto"/>
        </w:rPr>
        <w:t>Selling online is generally low margin, but it requires a high capital investment in order to purchase goods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run advertising.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Product Differentiation: </w:t>
      </w:r>
      <w:r>
        <w:rPr>
          <w:rFonts w:ascii="Times New Roman" w:cs="Times New Roman" w:eastAsia="Times New Roman" w:hAnsi="Times New Roman"/>
          <w:sz w:val="18"/>
          <w:szCs w:val="18"/>
          <w:color w:val="auto"/>
        </w:rPr>
        <w:t>Our proprietary software allows us to manage a large number of SKUs. This allows us to participate in profitable long-tail products in addition to well-known popular ones. The turnover rate for long-tail products is slow, so newcomers are not likely to enter. It also requires a sophisticated system to manage. Furthermore, vendor relationships do not happen overnight.</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Advanced System</w:t>
      </w:r>
      <w:r>
        <w:rPr>
          <w:rFonts w:ascii="Times New Roman" w:cs="Times New Roman" w:eastAsia="Times New Roman" w:hAnsi="Times New Roman"/>
          <w:sz w:val="18"/>
          <w:szCs w:val="18"/>
          <w:color w:val="auto"/>
        </w:rPr>
        <w:t>: We have already developed a highly sophisticated system which has been refined over time to become highly effective. Even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new entrant has a team of the best software engineers in the world, it will still take them many years to refine their system. There is a myriad of intricacies as to the effectiveness of a system. Even if the new entrants have the system built, it will still take them years to collect historical sales data. By the time new entrants have done all that, our system would have continued to mature. This means we would be able to manage more SKUs more profitably with lower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of Entry-Potential Entrants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Vendor Vertical Integration</w:t>
      </w:r>
      <w:r>
        <w:rPr>
          <w:rFonts w:ascii="Times New Roman" w:cs="Times New Roman" w:eastAsia="Times New Roman" w:hAnsi="Times New Roman"/>
          <w:sz w:val="18"/>
          <w:szCs w:val="18"/>
          <w:color w:val="auto"/>
        </w:rPr>
        <w:t>: A vendor may forward integrate into the e-commerce marketplace in order to directly engage with their online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Multichannel E-commerce: </w:t>
      </w:r>
      <w:r>
        <w:rPr>
          <w:rFonts w:ascii="Times New Roman" w:cs="Times New Roman" w:eastAsia="Times New Roman" w:hAnsi="Times New Roman"/>
          <w:sz w:val="18"/>
          <w:szCs w:val="18"/>
          <w:color w:val="auto"/>
        </w:rPr>
        <w:t>There is a chance of established online retail firms such as sellers on eBay, Walmart, and Etsy expanding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to the Amazon marketplace.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Brick-and-Mortar: </w:t>
      </w:r>
      <w:r>
        <w:rPr>
          <w:rFonts w:ascii="Times New Roman" w:cs="Times New Roman" w:eastAsia="Times New Roman" w:hAnsi="Times New Roman"/>
          <w:sz w:val="18"/>
          <w:szCs w:val="18"/>
          <w:color w:val="auto"/>
        </w:rPr>
        <w:t>As online retail is growing and offline retail is contracting, there are more brick-and-mortar stores migrating from offline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Objectives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2025, we achieved solid profit growth supported by disciplined purchasing, inventory optimization, and multichannel expansion. Sales growth for the year was primarily driven by the continued expansion of our multi-channel business, including Walmart, eBay, Amazon Canada, and Amazon Mexico, which enabled us to capture demand and expand our customer reach. While year-end performance was tempered by tariff surcharges and weaker holiday demand, operational improvements across procurement, pricing, advertising, and shipping strengthened overall resilience.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Looking ahead to 2026, we face structural challenges, including higher inbound placement fees, tariff volatility, and the discontinuation of Amazon’s labeling service, which is expected to materially increase shipping and third party logistics (“3PL”) costs. These changes are reshaping our cost structure and testing the scalability of our operating model.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actively pursuing vendor partnerships and 3PL process enhancements to mitigate these impacts, while continuing to refine our operational framework. Despite the uncertainties, we remain cautiously confident that the optimizations implemented in 2025 will support stability and position us to capture upside as market conditions improve.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Taishin International Bank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18, 2022, Flywheel entered into a line of credit agreement in the amount of $6,940,063 with Taishin International Bank (“Taishin”). As amended, the line of credit matures on May 18, 2026 and bears interest at a rate of 3.42% per annum.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and 2024, the outstanding balance under the Taishin line of credit was $637,348 and $610,967,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Affiliated Loans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receive loans and advances from our stockholders to fund our operations. As of December 31, 2025, we had a total of $3,810,418 due to related parties, which included $2,660,418 in stockholder payables and $1,150,000 accrued for bonuses. As of December 31, 2024, we had a total of $4,192,995 due to related parties, which included $3,499,418 in stockholder payables and $693,577 accrued for bonuses. While stockholder payables are generally non-interest bearing and payable on demand, we and our stockholders entered into loan agreements for loans with terms over one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July 2021 Loan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27, 2021, the Company, Mr. Lai and Ms. Yu entered into a loan agreement with a principal amount of $4,170,418. The loan is subordinated. As amended, the loan matures on December 31, 2026 and has an annual interest rate of 4.75%.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our headcount stands at 159, signaling a modest increase compared to 2024. We have intentionally opted for a less aggressive approach in terms of headcount. Looking ahead, we anticipate a planned increase to approximately 165 in 2026 to support anticipated future revenue growth. Our strategic focus is to enhance overall competency without a proportional increase in headcount.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Set forth below is certain information regarding our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22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Sam Lai</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7"/>
                <w:szCs w:val="17"/>
                <w:color w:val="auto"/>
              </w:rPr>
            </w:pPr>
          </w:p>
        </w:tc>
        <w:tc>
          <w:tcPr>
            <w:tcW w:w="80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Chairman of the Board, Chief Executive Officer and Interim Chief Financial Officer</w:t>
            </w:r>
          </w:p>
        </w:tc>
      </w:t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 Kuen (Maggie) Yu</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Director</w:t>
            </w:r>
          </w:p>
        </w:tc>
      </w:tr>
    </w:tbl>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 Lai. </w:t>
      </w:r>
      <w:r>
        <w:rPr>
          <w:rFonts w:ascii="Times New Roman" w:cs="Times New Roman" w:eastAsia="Times New Roman" w:hAnsi="Times New Roman"/>
          <w:sz w:val="18"/>
          <w:szCs w:val="18"/>
          <w:color w:val="auto"/>
        </w:rPr>
        <w:t>Mr. Lai has served as our Chief Executive Officer and been a member of our Board of Directors since June 2013 and our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since April 2021. He has served as our Interim Chief Financial Officer since March 29, 2022. He is a seasoned software engineer who has designed and built software and code from the ground up at Hour Loop, Inc., Amazon.com, Inc., UnifiedEdge, Inc., Kits, and Applied Research Labs for the past 18 years. From December 2009 through June 2017, Mr. Lai served as a Software Development Engineer for Amazon.com, Inc. From March 2009 through December 2009, he served as a Senior Java Developer at UnifiedEdge, Inc. From February 2007 through March 2009, Mr. Lai served as a Senior Java Developer at Kits. From September 2005 through February 2007, he served as a Software Development Engineer for Amazon.com, Inc. From March 2003 through January 2004, Mr. Lai served as a Research Engineer Scientist Assistant at Applied Research Labs. Mr. Lai graduated with a Bachelor Degree in Computer Science from University of Texas at Austin in 2003 and a Masters Degree in Computer Science from University of California, San Diego in 2004. Mr. Lai does not hold, and has not previously held, any directorships in any other reporting companies.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Sau Kuen (Maggie) Yu. </w:t>
      </w:r>
      <w:r>
        <w:rPr>
          <w:rFonts w:ascii="Times New Roman" w:cs="Times New Roman" w:eastAsia="Times New Roman" w:hAnsi="Times New Roman"/>
          <w:sz w:val="18"/>
          <w:szCs w:val="18"/>
          <w:color w:val="auto"/>
        </w:rPr>
        <w:t>Ms. Yu has served as our Senior Vice President and has been a member of our Board of Directors since June 2013.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Yu graduated with a Bachelor Degree in Computer Science from University of California, San Diego in 2004. Ms. Yu does not hold, and has not previously held, any directorships in any other reporting companies.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Lai and Ms. Yu are married.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arising in the ordinary course of business. To the knowledge of our management, there are no legal proceedings currently pending against us which we believe would have a material effect on our business, financial position or results of operations and, to the best of our knowledge, there are no such legal proceedings contemplated or threatened.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at 8201 164th Ave. NE, #200, Redmond, WA 98052-7615, where we rent a virtual office from an unaffiliated third party under a virtual office/meeting room agreement. This agreement provides for daily telephone answering, messaging and fax services, and paid access to conference rooms on an as-needed basis. The virtual office arrangement expires on August 31, 2026. Terms of the virtual office arrangement provide for a rent payment of $59 per month.</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lease a warehouse located at Qiaojiao Road, No. 1, Qiaojiao Middle Road, Tangxia Town, Dongguan City, Guangdong, China, who handle our storage and warehousing from an unaffiliated third party. The terms of this service provide for a base payment that is charged based on our usage. Flywheel, our wholly owned subsidiary, had two office leases in Taiwan in 2025. The respective lease terms are June 10, 2025 to July 9, 2027, and December 1, 2025 to November 30, 2028 and the total contract amounts are $127,226, and $79,971 respectively. We believe that these facilities are adequate for our current and near-term future needs.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securities carries a significant degree of risk. You should carefully consider the following risks, as well as the other information contained in this annual report on Form 10-K, including our historical financial statements and related notes included elsewhere in this annual report on Form 10-K, before you decide to purchase our securities. Any one of these risks and uncertainties has the potential to cause material adverse effects on our business, prospects, financial condition and operating results which could cause actual results to differ materially from any forward-looking statements expressed by us and a significant decrease in the value of our common shares. Refer to “Cautionary Statement Regarding Forward-Looking Statements.”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We may not be successful in preventing the material adverse effects that any of the following risks and uncertainties may cause. These potential risks and uncertainties may not be a complete list of the risks and uncertainties facing us. There may be additional risks and uncertainties that we are presently unaware of, or presently consider immaterial, that may become material in the future and have a material adverse effect on us. You could lose all or a significant portion of your investment due to any of these risks and uncertainties.</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Below is a summary of material risks, uncertainties and other factors that could have a material effect on the Company and its operations:</w:t>
      </w:r>
    </w:p>
    <w:p>
      <w:pPr>
        <w:spacing w:after="0" w:line="225" w:lineRule="exact"/>
        <w:rPr>
          <w:sz w:val="20"/>
          <w:szCs w:val="20"/>
          <w:color w:val="auto"/>
        </w:rPr>
      </w:pPr>
    </w:p>
    <w:p>
      <w:pPr>
        <w:ind w:left="1260" w:hanging="631"/>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w:t>
      </w:r>
    </w:p>
    <w:p>
      <w:pPr>
        <w:spacing w:after="0" w:line="225" w:lineRule="exact"/>
        <w:rPr>
          <w:rFonts w:ascii="Times New Roman" w:cs="Times New Roman" w:eastAsia="Times New Roman" w:hAnsi="Times New Roman"/>
          <w:sz w:val="18"/>
          <w:szCs w:val="18"/>
          <w:color w:val="auto"/>
        </w:rPr>
      </w:pPr>
    </w:p>
    <w:p>
      <w:pPr>
        <w:jc w:val="both"/>
        <w:ind w:left="1260" w:hanging="631"/>
        <w:spacing w:after="0" w:line="266" w:lineRule="auto"/>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build and maintain strong product listings on e-commerce platforms. We may not be able to maintain and enhance our product listings if we receive unfavorable customer complaints, negative publicity or otherwise fail to live up to consumers’ expectations, which could materially adversely affect our business, results of operations and growth prospects;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631" w:hanging="631"/>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results of operations could be materially and adversely affected by the new 10% global import surcharge and ongoing trade investigations;</w:t>
      </w:r>
    </w:p>
    <w:p>
      <w:pPr>
        <w:spacing w:after="0" w:line="161" w:lineRule="exact"/>
        <w:rPr>
          <w:rFonts w:ascii="Times New Roman" w:cs="Times New Roman" w:eastAsia="Times New Roman" w:hAnsi="Times New Roman"/>
          <w:sz w:val="18"/>
          <w:szCs w:val="18"/>
          <w:color w:val="auto"/>
        </w:rPr>
      </w:pPr>
    </w:p>
    <w:p>
      <w:pPr>
        <w:ind w:left="631" w:hanging="631"/>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de minimis treatment for low-value shipments has increased our compliance costs and may disrupt our fulfillment model;</w:t>
      </w:r>
    </w:p>
    <w:p>
      <w:pPr>
        <w:spacing w:after="0" w:line="161"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recover duties paid under invalidated 2025 tariff regimes, and any recovery process may be costly and delayed;</w:t>
      </w:r>
    </w:p>
    <w:p>
      <w:pPr>
        <w:spacing w:after="0" w:line="225"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significant fluctuations in our operating results and growth rate;</w:t>
      </w:r>
    </w:p>
    <w:p>
      <w:pPr>
        <w:spacing w:after="0" w:line="225"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successfully optimizing and operating our fulfillment and customer service operations;</w:t>
      </w:r>
    </w:p>
    <w:p>
      <w:pPr>
        <w:spacing w:after="0" w:line="225"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in our retail business places increased strain on our operations;</w:t>
      </w:r>
    </w:p>
    <w:p>
      <w:pPr>
        <w:spacing w:after="0" w:line="225" w:lineRule="exact"/>
        <w:rPr>
          <w:rFonts w:ascii="Times New Roman" w:cs="Times New Roman" w:eastAsia="Times New Roman" w:hAnsi="Times New Roman"/>
          <w:sz w:val="18"/>
          <w:szCs w:val="18"/>
          <w:color w:val="auto"/>
        </w:rPr>
      </w:pPr>
    </w:p>
    <w:p>
      <w:pPr>
        <w:ind w:left="631" w:hanging="631"/>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increases in Amazon Marketplace fulfillment and storage fees could have an adverse impact on our profit margin and results of operations;</w:t>
      </w:r>
    </w:p>
    <w:p>
      <w:pPr>
        <w:spacing w:after="0" w:line="161"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one or more of our vendors’ policies or our relationship with those vendors could adversely affect our results of operations;</w:t>
      </w:r>
    </w:p>
    <w:p>
      <w:pPr>
        <w:spacing w:after="0" w:line="225" w:lineRule="exact"/>
        <w:rPr>
          <w:rFonts w:ascii="Times New Roman" w:cs="Times New Roman" w:eastAsia="Times New Roman" w:hAnsi="Times New Roman"/>
          <w:sz w:val="18"/>
          <w:szCs w:val="18"/>
          <w:color w:val="auto"/>
        </w:rPr>
      </w:pPr>
    </w:p>
    <w:p>
      <w:pPr>
        <w:ind w:left="631" w:hanging="631"/>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is dependent upon maintaining our relationship with Amazon and failure to do so, or any restrictions on our ability to offer products on the Amazon Marketplace, could have an adverse impact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or the inability to attract, train and retain qualified employees could adversely affect our results of operations;</w:t>
      </w:r>
    </w:p>
    <w:p>
      <w:pPr>
        <w:spacing w:after="0" w:line="225"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difficulties in meeting our labor needs to effectively operate our business;</w:t>
      </w:r>
    </w:p>
    <w:p>
      <w:pPr>
        <w:spacing w:after="0" w:line="225" w:lineRule="exact"/>
        <w:rPr>
          <w:rFonts w:ascii="Times New Roman" w:cs="Times New Roman" w:eastAsia="Times New Roman" w:hAnsi="Times New Roman"/>
          <w:sz w:val="18"/>
          <w:szCs w:val="18"/>
          <w:color w:val="auto"/>
        </w:rPr>
      </w:pPr>
    </w:p>
    <w:p>
      <w:pPr>
        <w:ind w:left="631" w:hanging="631"/>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increased labor costs, including costs related to an increase in minimum wage and health care;</w:t>
      </w:r>
    </w:p>
    <w:p>
      <w:pPr>
        <w:spacing w:after="0" w:line="161"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data security could harm our business and standing with our customers;</w:t>
      </w:r>
    </w:p>
    <w:p>
      <w:pPr>
        <w:spacing w:after="0" w:line="225"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hardware and software systems are vulnerable to damage, theft or intrusion that could harm our business;</w:t>
      </w:r>
    </w:p>
    <w:p>
      <w:pPr>
        <w:spacing w:after="0" w:line="225" w:lineRule="exact"/>
        <w:rPr>
          <w:rFonts w:ascii="Times New Roman" w:cs="Times New Roman" w:eastAsia="Times New Roman" w:hAnsi="Times New Roman"/>
          <w:sz w:val="18"/>
          <w:szCs w:val="18"/>
          <w:color w:val="auto"/>
        </w:rPr>
      </w:pPr>
    </w:p>
    <w:p>
      <w:pPr>
        <w:ind w:left="631" w:right="20" w:hanging="631"/>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or failure to protect our intellectual property rights, or any claimed infringement by us of third-party intellectual rights, could have a negative impact on our operating results;</w:t>
      </w:r>
    </w:p>
    <w:p>
      <w:pPr>
        <w:spacing w:after="0" w:line="161"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influenced by general economic conditions;</w:t>
      </w:r>
    </w:p>
    <w:p>
      <w:pPr>
        <w:spacing w:after="0" w:line="225"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global capital and credit markets may have a material adverse effect on our liquidity and capital resources;</w:t>
      </w:r>
    </w:p>
    <w:p>
      <w:pPr>
        <w:spacing w:after="0" w:line="225" w:lineRule="exact"/>
        <w:rPr>
          <w:rFonts w:ascii="Times New Roman" w:cs="Times New Roman" w:eastAsia="Times New Roman" w:hAnsi="Times New Roman"/>
          <w:sz w:val="18"/>
          <w:szCs w:val="18"/>
          <w:color w:val="auto"/>
        </w:rPr>
      </w:pPr>
    </w:p>
    <w:p>
      <w:pPr>
        <w:ind w:left="631" w:hanging="631"/>
        <w:spacing w:after="0"/>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access to capital for its liquidity needs;</w:t>
      </w:r>
    </w:p>
    <w:p>
      <w:pPr>
        <w:spacing w:after="0" w:line="225" w:lineRule="exact"/>
        <w:rPr>
          <w:rFonts w:ascii="Times New Roman" w:cs="Times New Roman" w:eastAsia="Times New Roman" w:hAnsi="Times New Roman"/>
          <w:sz w:val="18"/>
          <w:szCs w:val="18"/>
          <w:color w:val="auto"/>
        </w:rPr>
      </w:pPr>
    </w:p>
    <w:p>
      <w:pPr>
        <w:ind w:left="631" w:right="20" w:hanging="631"/>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complete a future significant strategic transaction that may not achieve intended results or could increase the number of our outstanding shares or amount of outstanding debt or result in a change of control;</w:t>
      </w:r>
    </w:p>
    <w:p>
      <w:pPr>
        <w:spacing w:after="0" w:line="161" w:lineRule="exact"/>
        <w:rPr>
          <w:rFonts w:ascii="Times New Roman" w:cs="Times New Roman" w:eastAsia="Times New Roman" w:hAnsi="Times New Roman"/>
          <w:sz w:val="18"/>
          <w:szCs w:val="18"/>
          <w:color w:val="auto"/>
        </w:rPr>
      </w:pPr>
    </w:p>
    <w:p>
      <w:pPr>
        <w:ind w:left="631" w:right="20" w:hanging="631"/>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we have experienced declines, and we may continue to experience fluctuation in our level of sales and results from operations;</w:t>
      </w:r>
    </w:p>
    <w:p>
      <w:pPr>
        <w:spacing w:after="0" w:line="161" w:lineRule="exact"/>
        <w:rPr>
          <w:rFonts w:ascii="Times New Roman" w:cs="Times New Roman" w:eastAsia="Times New Roman" w:hAnsi="Times New Roman"/>
          <w:sz w:val="18"/>
          <w:szCs w:val="18"/>
          <w:color w:val="auto"/>
        </w:rPr>
      </w:pPr>
    </w:p>
    <w:p>
      <w:pPr>
        <w:ind w:left="631" w:hanging="631"/>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its liabilities and to continue as a going concern will continue to be dependent on the implementation of several items, the success of which is not certain;</w:t>
      </w:r>
    </w:p>
    <w:p>
      <w:pPr>
        <w:spacing w:after="0" w:line="161" w:lineRule="exact"/>
        <w:rPr>
          <w:rFonts w:ascii="Times New Roman" w:cs="Times New Roman" w:eastAsia="Times New Roman" w:hAnsi="Times New Roman"/>
          <w:sz w:val="18"/>
          <w:szCs w:val="18"/>
          <w:color w:val="auto"/>
        </w:rPr>
      </w:pPr>
    </w:p>
    <w:p>
      <w:pPr>
        <w:ind w:left="631" w:hanging="631"/>
        <w:spacing w:after="0" w:line="282" w:lineRule="auto"/>
        <w:tabs>
          <w:tab w:leader="none" w:pos="6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with whom we do business may be subject to insolvency risks or may otherwise become unable or unwilling to perform their obligations;</w:t>
      </w:r>
    </w:p>
    <w:p>
      <w:pPr>
        <w:spacing w:after="0" w:line="189" w:lineRule="exact"/>
        <w:rPr>
          <w:sz w:val="20"/>
          <w:szCs w:val="20"/>
          <w:color w:val="auto"/>
        </w:rPr>
      </w:pPr>
    </w:p>
    <w:p>
      <w:pPr>
        <w:ind w:left="49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11"/>
          </w:cols>
          <w:pgMar w:left="949" w:top="688" w:right="339" w:bottom="1440" w:gutter="0" w:footer="0" w:header="0"/>
        </w:sectPr>
      </w:pPr>
    </w:p>
    <w:bookmarkStart w:id="16" w:name="page17"/>
    <w:bookmarkEnd w:id="16"/>
    <w:p>
      <w:pPr>
        <w:ind w:left="1260" w:hanging="631"/>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legal and regulatory requirements could adversely affect our results of operations;</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may adversely affect our business, financial condition and results of operations;</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disasters, terrorism, acts of war, and public health issues may adversely affect our business;</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epidemic or outbreak of an infectious disease, such as COVID-19, may materially and adversely affect our business;</w:t>
      </w:r>
    </w:p>
    <w:p>
      <w:pPr>
        <w:spacing w:after="0" w:line="225" w:lineRule="exact"/>
        <w:rPr>
          <w:rFonts w:ascii="Times New Roman" w:cs="Times New Roman" w:eastAsia="Times New Roman" w:hAnsi="Times New Roman"/>
          <w:sz w:val="18"/>
          <w:szCs w:val="18"/>
          <w:color w:val="auto"/>
        </w:rPr>
      </w:pPr>
    </w:p>
    <w:p>
      <w:pPr>
        <w:ind w:left="1260" w:hanging="631"/>
        <w:spacing w:after="0" w:line="282"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senior management personnel or the failure to hire and retain highly skilled and other key personnel could negatively affect our business;</w:t>
      </w:r>
    </w:p>
    <w:p>
      <w:pPr>
        <w:spacing w:after="0" w:line="161" w:lineRule="exact"/>
        <w:rPr>
          <w:rFonts w:ascii="Times New Roman" w:cs="Times New Roman" w:eastAsia="Times New Roman" w:hAnsi="Times New Roman"/>
          <w:sz w:val="18"/>
          <w:szCs w:val="18"/>
          <w:color w:val="auto"/>
        </w:rPr>
      </w:pPr>
    </w:p>
    <w:p>
      <w:pPr>
        <w:jc w:val="both"/>
        <w:ind w:left="1260" w:hanging="631"/>
        <w:spacing w:after="0" w:line="266" w:lineRule="auto"/>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Sam Lai, our Chairman of the Board, Chief Executive Officer and Interim Chief Financial Officer and a significant stockholder, and Maggie Yu, our Senior Vice President, a member of our Board of Directors and a significant stockholder, who are husband and wife, to control our business may limit or eliminate minority stockholders’ ability to influence corporate affairs;</w:t>
      </w:r>
    </w:p>
    <w:p>
      <w:pPr>
        <w:spacing w:after="0" w:line="17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and unfavorable changes could harm our business;</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product liability claims when people or property are harmed by the products we sell;</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prior period sales tax and corporate tax liabilities, penalties and collection obligations;</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be able to comply with continued listing standards of The Nasdaq Capital Market (“Nasdaq”);</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state income tax rates could impact our financials negatively; and</w:t>
      </w:r>
    </w:p>
    <w:p>
      <w:pPr>
        <w:spacing w:after="0" w:line="225" w:lineRule="exact"/>
        <w:rPr>
          <w:rFonts w:ascii="Times New Roman" w:cs="Times New Roman" w:eastAsia="Times New Roman" w:hAnsi="Times New Roman"/>
          <w:sz w:val="18"/>
          <w:szCs w:val="18"/>
          <w:color w:val="auto"/>
        </w:rPr>
      </w:pPr>
    </w:p>
    <w:p>
      <w:pPr>
        <w:ind w:left="1260" w:hanging="631"/>
        <w:spacing w:after="0"/>
        <w:tabs>
          <w:tab w:leader="none" w:pos="1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you could lose all or part of your 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online retail business is rapidly evolving and intensely competitive. Some of our current and potential competitors have greater resources, longer histories, and/or more customers. They may secure better terms from vendors, adopt more aggressive pricing, and devote more resources to technology, infrastructure, fulfillment, and marketing.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Competition continues to intensify, including with the development of new business models and the entry of new and well-funded competitors, and as our competitors enter into business combinations or alliances and established companies in other market segments expand to become competitive with our business. In addition, new and enhanced technologies, including search, web and infrastructure computing services, digital content, and electronic devices continue to increase our competition. The Internet facilitates competitive entry and comparison shopping, which enhances the ability of new, smaller, or lesser-known businesses to compete against us. As a result of competition, our product offerings may not be successful, we may fail to gain or may lose business, and we may be required to increase our spending or lower prices, any of which could materially reduce our sales and profits.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build and maintain strong product listings on e-commerce platforms. We may not be able to maintain and enhance our product listings if we receive unfavorable customer complaints, negative publicity or otherwise fail to live up to consumers’ expectations, which could materially adversely affect our business, results of operations and growth prospects.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Maintaining and enhancing our product listings is critical in expanding and growing our business. However, a significant portion of our perceived performance to the customer depends on third parties outside of our control, including suppliers and third-party delivery agents as well as online retailers such as Amazon and Walmart. Because our agreements with our online retail partners are generally terminable at will, we may be unable to maintain these relationships, and our results of operations could fluctuate significantly from period to period. Because we rely on third parties to deliver our products, we are subject to shipping delays or disruptions caused by inclement weather, natural disasters, labor activism, health epidemics or bioterrorism. We may also experience shipping delays or disruptions due to other carrier-related issues relating to their own internal operational capabilities. Further, we rely on the business continuity plans of these third parties to operate during pandemics, and we have limited ability to influence their plans, prevent delays, and/or cost increases due to reduced availability and capacity and increased required safety measures.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Customer complaints or negative publicity about our products, delivery times, or marketing strategies, even if not accurate, especially on blogs, social media websites and third-party market sites, could rapidly and severely diminish consumer view of our product listings and result in harm to our brands. Customers may also make safety-related claims regarding products sold through our online retail partners, such as Amazon, which may result in an online retail partner removing the product from its marketplace. We have from time to time experienced such removals and such removals may materially impact our financial results depending on the product that is removed and length of time that it is removed. We also use and rely on other services from third parties, such as our telecommunications services, and those services may be subject to outages and interruptions that are not within our control.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results of operations could be materially and adversely affected by the new 10% global import surcharge and ongoing trade investigations.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Following the U.S. Supreme Court’s February 20, 2026 ruling that invalidated certain prior tariff regimes, the U.S. administration immediately implemented a new 10% ad valorem global import surcharge under Section 122 of the Trade Act, effective February 24, 2026. This surcharge applies to nearly all of our imported goods, including those from China. While this measure is currently scheduled to expire in July 2026, there is no guarantee it will not be extended by Congress or replaced by more aggressive measures.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on March 11, 2026, the USTR initiated new Section 301 investigations into manufacturing overcapacity and labor practices in certain sourcing regions, including China and Southeast Asia. While these investigations could lead to additional duties beyond the 150-day statutory limit of the Section 122 surcharge, we currently do not expect them to have a material impact on our margins or overall financial performance.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de minimis treatment for low-value shipments has increased our compliance costs and has no material impact in our fulfillment model.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2026, the U.S. government reaffirmed and continued the permanent suspension of the “de minimis” exemption (Section 321) for all international shipments, regardless of value. Previously, shipments with a retail value of $800 or less entered the U.S. duty-free and with minimal formal entry requirements.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current 2026 regulations, all such shipments—including those sent via international postal networks—are now subject to:</w:t>
      </w:r>
    </w:p>
    <w:p>
      <w:pPr>
        <w:spacing w:after="0" w:line="223" w:lineRule="exact"/>
        <w:rPr>
          <w:sz w:val="20"/>
          <w:szCs w:val="20"/>
          <w:color w:val="auto"/>
        </w:rPr>
      </w:pPr>
    </w:p>
    <w:p>
      <w:pPr>
        <w:ind w:left="960" w:hanging="331"/>
        <w:spacing w:after="0" w:line="262"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Formal Entry Requirements: </w:t>
      </w:r>
      <w:r>
        <w:rPr>
          <w:rFonts w:ascii="Times New Roman" w:cs="Times New Roman" w:eastAsia="Times New Roman" w:hAnsi="Times New Roman"/>
          <w:sz w:val="18"/>
          <w:szCs w:val="18"/>
          <w:color w:val="auto"/>
        </w:rPr>
        <w:t>Mandating the use of licensed customs brokers and the filing of formal entry types in the Automated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 (ACE).</w:t>
      </w:r>
    </w:p>
    <w:p>
      <w:pPr>
        <w:ind w:left="960" w:hanging="331"/>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Duties: </w:t>
      </w:r>
      <w:r>
        <w:rPr>
          <w:rFonts w:ascii="Times New Roman" w:cs="Times New Roman" w:eastAsia="Times New Roman" w:hAnsi="Times New Roman"/>
          <w:sz w:val="18"/>
          <w:szCs w:val="18"/>
          <w:color w:val="auto"/>
        </w:rPr>
        <w:t>Payment of the 10% Trade Act Section 122 surcharge and any other applicable statutory duties.</w:t>
      </w:r>
    </w:p>
    <w:p>
      <w:pPr>
        <w:spacing w:after="0" w:line="9"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Processing Fees: </w:t>
      </w:r>
      <w:r>
        <w:rPr>
          <w:rFonts w:ascii="Times New Roman" w:cs="Times New Roman" w:eastAsia="Times New Roman" w:hAnsi="Times New Roman"/>
          <w:sz w:val="18"/>
          <w:szCs w:val="18"/>
          <w:color w:val="auto"/>
        </w:rPr>
        <w:t>Additional flat fees for postal items and increased carrier surcharges for duty handling.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changes have no material impact on our per-unit landed costs for small-parcel fulfillment and administrative burdens.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recover duties paid under invalidated 2025 tariff regimes, and any recovery process may be costly and delayed.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Although the U.S. Supreme Court recently ruled that the IEEPA-based tariffs imposed in 2025 were unauthorized, the process for obtaining refunds of the duties we paid during that period remains highly uncertain. As of March 2026, U.S. Customs and Border Protection has indicated that refunds will only be available through a specific direct-deposit platform and may require individual importers to initiate formal protests or litigation. We cannot predict the timing or success of our refund claims. If we are unable to secure these refunds, or if the cost of the recovery process exceeds the potential benefit, our 2025 financial results will remain negatively impacted by these invalidated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experience significant fluctuations in our operating results and growth rate.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always able to accurately forecast our growth rate. We base our expense levels and investment plans on sales estimates. A significant portion of our expenses and investments is fixed, and we are not always able to adjust our spending quickly enough if our sales are less than expected.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revenue growth may not be sustainable, and our percentage growth rates may decrease. Our revenue and operating profit growth depend on the continued growth of demand for the products offered by us, and our business is affected by general economic and business conditions. A softening of demand, whether caused by changes in customer preferences or a weakening of the U.S. economy, may result in decreased revenue or growth.</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sales and operating results will also fluctuate for many other reasons, including due to factors described elsewhere in this section and the following:</w:t>
      </w:r>
    </w:p>
    <w:p>
      <w:pPr>
        <w:spacing w:after="0" w:line="162" w:lineRule="exact"/>
        <w:rPr>
          <w:sz w:val="20"/>
          <w:szCs w:val="20"/>
          <w:color w:val="auto"/>
        </w:rPr>
      </w:pPr>
    </w:p>
    <w:p>
      <w:pPr>
        <w:ind w:left="960" w:hanging="33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increase sales to existing customers, attract new customers, and satisfy our customers’ demands;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network of vendors;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products on favorable terms, manage inventory, and fulfill orders;</w:t>
      </w:r>
    </w:p>
    <w:p>
      <w:pPr>
        <w:sectPr>
          <w:pgSz w:w="11900" w:h="16838" w:orient="portrait"/>
          <w:cols w:equalWidth="0" w:num="1">
            <w:col w:w="11240"/>
          </w:cols>
          <w:pgMar w:left="320" w:top="684" w:right="339" w:bottom="0" w:gutter="0" w:footer="0" w:header="0"/>
        </w:sectPr>
      </w:pPr>
    </w:p>
    <w:bookmarkStart w:id="18" w:name="page19"/>
    <w:bookmarkEnd w:id="18"/>
    <w:p>
      <w:pPr>
        <w:ind w:left="331" w:hanging="331"/>
        <w:spacing w:after="0"/>
        <w:tabs>
          <w:tab w:leader="none" w:pos="3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competitive products, price decreases, or improvements;</w:t>
      </w:r>
    </w:p>
    <w:p>
      <w:pPr>
        <w:spacing w:after="0" w:line="225" w:lineRule="exact"/>
        <w:rPr>
          <w:rFonts w:ascii="Times New Roman" w:cs="Times New Roman" w:eastAsia="Times New Roman" w:hAnsi="Times New Roman"/>
          <w:sz w:val="18"/>
          <w:szCs w:val="18"/>
          <w:color w:val="auto"/>
        </w:rPr>
      </w:pPr>
    </w:p>
    <w:p>
      <w:pPr>
        <w:ind w:left="331" w:hanging="331"/>
        <w:spacing w:after="0"/>
        <w:tabs>
          <w:tab w:leader="none" w:pos="3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usage or adoption rates of the Internet, e-commerce, electronic devices, and web services;</w:t>
      </w:r>
    </w:p>
    <w:p>
      <w:pPr>
        <w:spacing w:after="0" w:line="225" w:lineRule="exact"/>
        <w:rPr>
          <w:rFonts w:ascii="Times New Roman" w:cs="Times New Roman" w:eastAsia="Times New Roman" w:hAnsi="Times New Roman"/>
          <w:sz w:val="18"/>
          <w:szCs w:val="18"/>
          <w:color w:val="auto"/>
        </w:rPr>
      </w:pPr>
    </w:p>
    <w:p>
      <w:pPr>
        <w:ind w:left="331" w:hanging="331"/>
        <w:spacing w:after="0"/>
        <w:tabs>
          <w:tab w:leader="none" w:pos="3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effectiveness, and costs of expansion and upgrades of our systems and infrastructure;</w:t>
      </w:r>
    </w:p>
    <w:p>
      <w:pPr>
        <w:spacing w:after="0" w:line="225" w:lineRule="exact"/>
        <w:rPr>
          <w:rFonts w:ascii="Times New Roman" w:cs="Times New Roman" w:eastAsia="Times New Roman" w:hAnsi="Times New Roman"/>
          <w:sz w:val="18"/>
          <w:szCs w:val="18"/>
          <w:color w:val="auto"/>
        </w:rPr>
      </w:pPr>
    </w:p>
    <w:p>
      <w:pPr>
        <w:ind w:left="331" w:hanging="331"/>
        <w:spacing w:after="0"/>
        <w:tabs>
          <w:tab w:leader="none" w:pos="3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finance, and the terms of any such financing for, our current operations and future growth;</w:t>
      </w:r>
    </w:p>
    <w:p>
      <w:pPr>
        <w:spacing w:after="0" w:line="225" w:lineRule="exact"/>
        <w:rPr>
          <w:rFonts w:ascii="Times New Roman" w:cs="Times New Roman" w:eastAsia="Times New Roman" w:hAnsi="Times New Roman"/>
          <w:sz w:val="18"/>
          <w:szCs w:val="18"/>
          <w:color w:val="auto"/>
        </w:rPr>
      </w:pPr>
    </w:p>
    <w:p>
      <w:pPr>
        <w:ind w:left="331" w:hanging="331"/>
        <w:spacing w:after="0" w:line="282" w:lineRule="auto"/>
        <w:tabs>
          <w:tab w:leader="none" w:pos="33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legal proceedings and claims, which may include significant monetary damages or injunctive relief and could have a material adverse impact on our operating results;</w:t>
      </w:r>
    </w:p>
    <w:p>
      <w:pPr>
        <w:spacing w:after="0" w:line="189" w:lineRule="exact"/>
        <w:rPr>
          <w:sz w:val="20"/>
          <w:szCs w:val="20"/>
          <w:color w:val="auto"/>
        </w:rPr>
      </w:pPr>
    </w:p>
    <w:p>
      <w:pPr>
        <w:ind w:left="49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11"/>
          </w:cols>
          <w:pgMar w:left="949" w:top="121" w:right="339" w:bottom="1440" w:gutter="0" w:footer="0" w:header="0"/>
        </w:sectPr>
      </w:pPr>
    </w:p>
    <w:bookmarkStart w:id="19" w:name="page20"/>
    <w:bookmarkEnd w:id="19"/>
    <w:p>
      <w:pPr>
        <w:ind w:left="960" w:hanging="331"/>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mix of products we sell;</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level of merchandise and vendor returns;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offer fast and free delivery and provide additional benefits to our customers;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our reputation;</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technology and content, fulfillment, and other expense categories;</w:t>
      </w:r>
    </w:p>
    <w:p>
      <w:pPr>
        <w:spacing w:after="0" w:line="225" w:lineRule="exact"/>
        <w:rPr>
          <w:rFonts w:ascii="Times New Roman" w:cs="Times New Roman" w:eastAsia="Times New Roman" w:hAnsi="Times New Roman"/>
          <w:sz w:val="18"/>
          <w:szCs w:val="18"/>
          <w:color w:val="auto"/>
        </w:rPr>
      </w:pPr>
    </w:p>
    <w:p>
      <w:pPr>
        <w:ind w:left="960" w:right="20" w:hanging="331"/>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prices of fuel and gasoline, as well as increases in the prices of other energy products and commodities like paper and packing supplies and hardware products;</w:t>
      </w:r>
    </w:p>
    <w:p>
      <w:pPr>
        <w:spacing w:after="0" w:line="161" w:lineRule="exact"/>
        <w:rPr>
          <w:rFonts w:ascii="Times New Roman" w:cs="Times New Roman" w:eastAsia="Times New Roman" w:hAnsi="Times New Roman"/>
          <w:sz w:val="18"/>
          <w:szCs w:val="18"/>
          <w:color w:val="auto"/>
        </w:rPr>
      </w:pPr>
    </w:p>
    <w:p>
      <w:pPr>
        <w:ind w:left="960" w:hanging="331"/>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operators of the networks between our customers and us, the online retailer, successfully charge fees to grant our customers unimpaired and unconstrained access to our online services;</w:t>
      </w:r>
    </w:p>
    <w:p>
      <w:pPr>
        <w:spacing w:after="0" w:line="161"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amounts owed to us when they become due;</w:t>
      </w:r>
    </w:p>
    <w:p>
      <w:pPr>
        <w:spacing w:after="0" w:line="225" w:lineRule="exact"/>
        <w:rPr>
          <w:rFonts w:ascii="Times New Roman" w:cs="Times New Roman" w:eastAsia="Times New Roman" w:hAnsi="Times New Roman"/>
          <w:sz w:val="18"/>
          <w:szCs w:val="18"/>
          <w:color w:val="auto"/>
        </w:rPr>
      </w:pPr>
    </w:p>
    <w:p>
      <w:pPr>
        <w:ind w:left="960" w:hanging="331"/>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new and existing technologies, or industry trends, restrict online advertising or affect our ability to customize advertising or otherwise tailor our product and service offerings;</w:t>
      </w:r>
    </w:p>
    <w:p>
      <w:pPr>
        <w:spacing w:after="0" w:line="161" w:lineRule="exact"/>
        <w:rPr>
          <w:rFonts w:ascii="Times New Roman" w:cs="Times New Roman" w:eastAsia="Times New Roman" w:hAnsi="Times New Roman"/>
          <w:sz w:val="18"/>
          <w:szCs w:val="18"/>
          <w:color w:val="auto"/>
        </w:rPr>
      </w:pPr>
    </w:p>
    <w:p>
      <w:pPr>
        <w:ind w:left="960" w:right="20" w:hanging="331"/>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use of our services is affected by spyware, viruses, phishing and other spam emails, denial of service attacks, data theft, computer intrusions, outages, and similar events; and</w:t>
      </w:r>
    </w:p>
    <w:p>
      <w:pPr>
        <w:spacing w:after="0" w:line="161" w:lineRule="exact"/>
        <w:rPr>
          <w:rFonts w:ascii="Times New Roman" w:cs="Times New Roman" w:eastAsia="Times New Roman" w:hAnsi="Times New Roman"/>
          <w:sz w:val="18"/>
          <w:szCs w:val="18"/>
          <w:color w:val="auto"/>
        </w:rPr>
      </w:pPr>
    </w:p>
    <w:p>
      <w:pPr>
        <w:ind w:left="960" w:right="20" w:hanging="331"/>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from natural or man-made disasters, extreme weather, geopolitical events and security issues (including terrorist attacks and armed hostilities), labor or trade disputes, and similar events.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successfully optimizing and operating our fulfillment and customer service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Failures to adequately predict customer demand or otherwise optimize and operate our fulfillment and customer service operations successfully from time to time result in excess or insufficient fulfillment or customer service capacity, increased costs, and impairment charges, any of which could materially harm our business. As we continue to add fulfillment and customer service capability or add new businesses with different requirements, our fulfillment and customer service operations become increasingly complex and operating them becomes more challenging. There can be no assurance that we will be able to operate our operations effectively.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failure to optimize inventory in our fulfillment operations increases our net shipping cost by requiring long-zone or partial shipments. We may be unable to adequately staff our fulfillment and customer service operations. Our failure to properly handle such inventory or to accurately forecast product demand may result in us being unable to secure sufficient storage space or to optimize our fulfillment operations or cause other unexpected costs and other harm to our business and reputation.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rely on a limited number of shipping companies to deliver inventory to us and completed orders to our customers. The inability to negotiate acceptable terms with these companies or performance problems or other difficulties experienced by these companies or by our own transportation systems could negatively impact our operating results and customer experience. In addition, our ability to receive inbound inventory efficiently and ship completed orders to customers also may be negatively affected by natural or man-made disasters, extreme weather, geopolitical events and security issues, labor or trade disputes, and similar events.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The variability in our retail business places increased strain on our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Demand for our retail products can fluctuate significantly for many reasons, including as a result of seasonality, promotions, product launches, or unforeseeable events, such as in response to natural or man-made disasters, extreme weather, or geopolitical events. For example, we expect a disproportionate amount of our retail sales to occur during our fourth quarter. Our failure to stock or restock popular products in sufficient amounts such that we fail to meet customer demand could significantly affect our revenue and our future growth. When we overstock products, we may be required to take significant inventory markdowns or write-offs and incur commitment costs, which could materially reduce profitability. We regularly experience increases in our net shipping cost due to FBA fee increases, split-shipments, and additional long-zone shipments necessary to ensure timely delivery for the holiday season. If too many customers access the websites on which we engage in online retailing within a short period of time due to increased demand, we may experience system interruptions that make the websites unavailable or prevent us from efficiently fulfilling orders, which may reduce the volume of goods we offer or sell and the attractiveness of our products. In addition, we may be unable to adequately staff for fulfillment of orders and customer service during these peak periods and delivery and other fulfillment companies and customer service co-sourcers may be unable to meet the seasonal demand.</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holiday sales, as of December 31 of each year, our cash, cash equivalents, and marketable securities balances typically reach their highest level (other than as a result of cash flows provided by or used in investing and financing activities). This operating cycle results in a corresponding increase in accounts payable as of December 31. Our accounts payable balance generally declines during the first three months of the year, resulting in a corresponding decline in our cash, cash equivalents, and marketable securities balances.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increases in Amazon Marketplace fulfillment and storage fees could have an adverse impact on our profit margin and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utilize Amazon’s FBA platform to store our products at the Amazon fulfillment center and to pack and distribute these products to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Amazon continues to increase its FBA fees, our profit margin could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one or more of our vendors’ policies or our relationship with those vendors could adversely affect our results of operations.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dependent on our vendors to supply merchandise in a timely and efficient manner. If a vendor fails to deliver on its commitments, whether due to financial difficulties or other reasons, we could experience merchandise shortages that could lead to lost sales.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Historically, we have not experienced difficulty in obtaining satisfactory sources of supply and management believes that we will continue to have access to adequate sources of supply. No individual vendor exceeded 15% of purchases in the year ended December 31, 2025.</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is dependent upon maintaining our relationship with Amazon and failure to do so, or any restrictions on our ability to offer products on the Amazon Marketplace, could have an adverse impact on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date, we have generated practically all of our revenue as a third-party seller on Amazon Marketplace. In 2025 and 2024, 98% and 99%, respectively, of our net revenue was through or with the Amazon sales platform. Therefore, we depend entirely on our relationship with Amazon for growth. In particular, we depend on our ability to offer products on the Amazon Marketplace. We also depend on Amazon for the timely delivery of products to customers. Any adverse change in our relationship with Amazon, including restrictions on the ability to offer products or termination of the relationship, could adversely affect our continued growth and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profit is dependent on reimbursements from Amazon and any change in Amazon’s policy regarding reimbursement could adversely impact our ability to generate profits.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Amazon reimburses us for any lost and damaged merchandise. These reimbursements form a substantial portion of our profits. Any change in Amazon policy regarding these reimbursements could impact our profit adversely. Additionally, we are dependent on Amazon’s ability to track and process these reimbursements. Any deficiencies in Amazon’s ability to process these reimbursements could impact our profits.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key personnel or the inability to attract, train and retain qualified employees could adversely affect our results of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future prospects depend, to a significant extent, on the services of our executive officers. Our future success will also depend on our ability to attract and retain qualified key personnel. The loss of the services of certain of our executive officers and other key management personnel could adversely affect our results of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executive officers, our business is dependent on our ability to attract, train and retain qualified team members. Our ability to meet our labor needs while controlling our costs is subject to external factors such as unemployment levels, health care costs and changing demographics. If we are unable to attract and retain adequate numbers of qualified team members, our operations and support functions could suffer. Those factors, together with increased wage and benefit costs, could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in meeting our labor needs to effectively operate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heavily dependent upon our labor workforce. Our compensation packages are designed to provide benefits commensurate with our level of expected service. However, we face the challenge of filling many positions at wage scales that are appropriate to the industry and competitive factors. We also face other risks in meeting our labor needs, including competition for qualified personnel, overall unemployment levels. Changes in any of these factors, including a shortage of available workforce, could interfere with our ability to adequately service our customers and could result in increasing labor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increased labor costs, including costs related to an increase in minimum wage and health care.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Labor is one of the primary components in the cost of operating our business. Increased labor costs, whether due to competition, unionization, increased minimum wage, state unemployment rates, health care, or other employee benefits costs may adversely impact our operating expenses. Additionally, there is no assurance that future health care legislation will not adversely impact our results or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Breach of data security could harm our business and standing with our customers.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protection of our supplier (vendor), employee and business data is critical to us. Our business, like that of most companies, involves confidential information about our employees, our suppliers and our Company. We rely on commercially available systems, software, tools and monitoring to provide security for processing, transmission and storage of all such data, including confidential information. Despite the security measures we have in place, our facilities and systems, and those of our third-party service providers, may be vulnerable to security breaches, acts of vandalism, computer viruses, misplaced or lost data, programming or human errors, or other similar events. Unauthorized parties may attempt to gain access to our systems or information through fraud or other means, including deceiving our employees or third-party service providers. The methods used to obtain unauthorized access, disable or degrade service, or sabotage systems are also constantly changing and evolving, and may be difficult to anticipate or detect. We have implemented and regularly review and update our control systems, processes and procedures to protect against unauthorized access to or use of secured data and to prevent data loss. However, the ever-evolving threats mean we must continually evaluate and adapt our systems and processes, and there is no guarantee that they will be adequate to safeguard against all data security breaches or misuses of data. Any security breach involving the misappropriation, loss or other unauthorized disclosure of customer payment card or personal information or employee personal or confidential information, whether by us or our vendors, could damage our reputation, expose us to risk of litigation and liability, disrupt our operations, harm our business and have an adverse impact upon our net sales and profitability. As the regulatory environment related to information security, data collection and use, and privacy becomes increasingly rigorous, with new and changing requirements applicable to our business, compliance with those requirements could also result in additional costs. Further, if we are unable to comply with the security standards established by banks and the credit card industry, we may be subject to fines, restrictions and expulsion from card acceptance programs, which could adversely affect our retail operations.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system interruption and lack of redundancy.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experience occasional system interruptions and delays that make the websites on which we engage in online retailing unavailable or slow to respond and prevent us from efficiently accepting or fulfilling orders or providing services to third parties, which may reduce our net sales and the attractiveness of our products and services. Steps we take to add software and hardware, upgrade our systems and network infrastructure, and improve the stability and efficiency of our systems may not be sufficient to avoid system interruptions or delays that could adversely affect our operating results.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computer and communications systems and operations in the past have been, or in the future could be, damaged or interrupted due to events such as natural or man-made disasters, extreme weather, geopolitical events and security issues (including terrorist attacks and armed hostilities), computer viruses, physical or electronic break-ins, and similar events or disruptions. Any of these events could cause system interruption, delays, and loss of critical data, and could prevent us from accepting and fulfilling customer orders and providing services, which could make our product offerings less attractive and subject us to liability. Our systems are not fully redundant and our disaster recovery planning may not be sufficient. In addition, our insurance may not provide sufficient coverage to compensate for related losses. Any of these events could damage our reputation and be expensive to remedy.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hardware and software systems are vulnerable to damage, theft or intrusion that could harm 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failure of our computer hardware or software systems that causes an interruption in our operations or a decrease in inventory tracking could result in reduced net sales and profitability. Additionally, if any data intrusion, security breach, misappropriation or theft were to occur, we could incur significant costs in responding to such event, including responding to any resulting claims, litigation or investigations, which could harm our operating results.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or failure to protect our intellectual property rights, or any claimed infringement by us of third-party intellectual rights, could have a negative impact on our operating results.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trademark, trade secrets and other intellectual property, including proprietary software, are valuable assets that are critical to our success. The unauthorized reproduction or other misappropriation of our intellectual property could cause a decline in our revenue. In addition, any infringement or other intellectual property claim made against us could be time-consuming to address, result in costly litigation, cause product delays, require us to enter into royalty or licensing agreements or result in our loss of ownership or use of the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influenced by general economic conditions.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performance is subject to general economic conditions and their impact on levels of discretionary consumer spending. General economic conditions impacting discretionary consumer spending include, among others, wages and employment, consumer debt, reductions in net worth, residential real estate and mortgage markets, taxation, fuel and energy prices, interest rates, consumer confidence and other macroeconomic factors.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Consumer purchases of discretionary items generally decline during recessionary periods and other periods where disposable income is adversely affected. A downturn in the economy affects retailers disproportionately, as consumers may prioritize reductions in discretionary spending, which could have a direct impact on purchases of our products and services and adversely impact our results of operations. In addition, reduced consumer spending may drive us and our competitors to offer additional products at promotional prices, which would have a negative impact on gross profit.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of global capital and credit markets may have a material adverse effect on our liquidity and capital resources.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Distress in the financial markets has in the past and can in the future result in extreme volatility in security prices, diminished liquidity and credit availability. There can be no assurance that our liquidity will not be affected by changes in the financial markets and the global economy or that our capital resources will at all times be sufficient to satisfy our liquidity needs.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upon access to capital for its liquidity needs.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must have sufficient sources of liquidity to fund our working capital requirements and indebtedness. The future availability of financing will depend on a variety of factors, such as economic and market conditions, the availability of credit and our credit rating, as well as our reputation with potential lenders. These factors could materially adversely affect our ability to fund our working capital requirements, costs of borrowing, and our financial position and results of operations would be adversely impacted.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complete a future significant strategic transaction that may not achieve intended results or could increase the number of our outstanding shares or amount of outstanding debt or result in a change of control.</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evaluate and may in the future enter into strategic transactions. Any such transaction could happen at any time, could be material to our business and could take any number of forms, including, for example, an acquisition, merger or a sale of all or substantially all of our assets.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Evaluating potential transactions and integrating completed ones may divert the attention of our management from ordinary operating matters. The success of these potential transactions will depend, in part, on our ability to realize the anticipated growth opportunities and cost synergies through the successful integration of the businesses we acquire with our existing business. Even if we are successful in integrating the acquired businesses, we cannot assure you that these integrations will result in the realization of the full benefit of any anticipated growth opportunities or cost synergies or that these benefits will be realized within the expected time frames. In addition, acquired businesses may have unanticipated liabilities or contingencies.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complete an acquisition, investment or other strategic transaction, we may require additional financing that could result in an increase in the number of our outstanding shares or the aggregate principal amount of our debt. A strategic transaction may result in a change in control of our company or otherwise materially and adversely affect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we have experienced declines, and we may continue to experience fluctuation in our level of sales and results from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variety of factors has historically affected, and will continue to affect, our sales results and profit margins. These factors include general economic conditions; competition; actions taken by our competitors; consumer trends and preferences; access to third party marketplaces; and new product introductions and changes in our product mix.</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assurance that we will achieve positive levels of sales and earnings growth, and any decline in our future growth or performance could have a material adverse effect on our business and results of operations.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satisfy our liabilities and to continue as a going concern will continue to be dependent on the implementation of several items, the success of which is not certain.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primary source of liquidity is available cash and cash equivalents, which is limited. Therefore, our ability to meet our liabilities and to continue as a going concern is dependent on, among other things, improved profitability, the continued implementation of its business strategy, the availability of future funding, implementation of one or more corporate initiatives to reduce costs at the parent company level and other strategic alternatives, including selling all or part of our remaining business or assets.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successful in further implementing our business strategy or that the strategy, including the completed initiatives, will be successful in sustaining acceptable levels of sales growth and profitability.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Parties with whom we do business may be subject to insolvency risks or may otherwise become unable or unwilling to perform their obligations to us.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 party to contracts, transactions and business relationships with various third parties, including partners, vendors, suppliers, service providers and lenders, pursuant to which such third parties have performance, payment and other obligations to us. In some cases, we depend upon such third parties to provide essential products, services or other benefits, including with respect to merchandise, advertising, software development and support, logistics, other agreements for goods and services in order to operate our business in the ordinary course, extensions of credit, credit card accounts and related receivables, and other vital matters. Economic, industry and market conditions could result in increased risks to the Company associated with the potential financial distress or insolvency of such third parties. If any of these third parties were to become subject to bankruptcy, receivership or similar proceedings, our rights and benefits in relation to our contracts, transactions and business relationships with such third parties could be terminated, modified in a manner adverse to us, or otherwise impaired. We cannot make any assurances that it would be able to arrange for alternate or replacement contracts, transactions or business relationships on terms as favorable as our existing contracts, transactions or business relationships, if at all. Any inability on our part to do so could negatively affect our cash flows,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legal and regulatory requirements could adversely affect our 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a wide array of laws and regulations. Significant legislative changes that impact our relationship with our workforce (none of which is represented by unions) could increase our expenses and adversely affect our operations. Examples of possible legislative changes impacting our relationship with our workforce include changes to an employer’s obligation to recognize collective bargaining units, the process by which collective bargaining units are negotiated or imposed, minimum wage requirements, health care mandates, and changes in overtime regulations.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policies, procedures and internal controls are designed to comply with all applicable laws and regulations, including those imposed by the Securities and Exchange Commission (the “SEC”) and Nasdaq, as well as applicable employment laws. Additional legal and regulatory requirements increase the complexity of the regulatory environment in which we operate and the related cost of compliance. Failure to comply with such laws and regulations may result in damage to our reputation, financial condition and market price of our stock.</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certificate of incorporation and bylaws provide that state or federal court located within the state of Delaware will be the sole and exclusive forum for substantially all disputes between us and our stockholders, which could limit its stockholders’ ability to obtain a favorable judicial forum for disputes with us or our directors, officers or other employees.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contains a forum selection clause and Section 7.4 of our bylaws provides that “[u]nless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in the county in which the principal office of the corporation in the State of Delaware is established, in all cases subject to the court’s having personal jurisdiction over the indispensable parties named as defendants. If any action is brought by any party against another party, relating to or arising out of [the] Bylaws, or the enforcement hereof, the prevailing party shall be entitled to recover from the other party reasonable attorneys’ fees, costs and expenses incurred in connection with the prosecution or defense of such action, provided that the provisions of this sentence shall not apply with respect to “internal corporate claims” as defined in Section 115 of the DGCL or in connection with any other claim that a stockholder, acting in its capacity as a stockholder or in the right of the Corporation, has brought in an action, suit or proceeding…. Notwithstanding the foregoing, the exclusive forum provision will not apply to suits brought to enforce any liability or duty created by the</w:t>
      </w:r>
    </w:p>
    <w:p>
      <w:pPr>
        <w:spacing w:after="0" w:line="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Securities Exchange of 1934, as amended, the Securities Act of 1933, as amended, or any claim for which the federal courts have exclusive or concurrent jurisdiction. 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as amended, or the Securities Exchange Act of 1934, as amended, including, in each case, any and all claims brought either directly or derivatively.” Therefore, the exclusive forum provision in our certificate of incorporation and our bylaws will not relieve us of our duty to comply with the federal securities laws and the rules and regulations thereunder, and stockholders will not be deemed to have waived our compliance with these laws, rules and regulations.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bring a claim in a judicial forum of its choosing for disputes with us or our directors, officers or other employees, which may discourage lawsuits against us or our directors, officers or other employees. In addition, stockholders who do bring a claim in the state or federal court in the State of Delaware could face additional litigation costs in pursuing any such claim, particularly if they do not reside in or near Delaware. The state or federal court of the State of Delaware may also reach different judgments or results than would other courts, including courts where a stockholder would otherwise choose to bring the action, and such judgments or results may be more favorable to us than to our stockholders. However, the enforceability of similar exclusive forum provisions in other companies’ certificates of incorporation have been challenged in legal proceedings, and it is possible that a court could find this type of provision to be inapplicable to, or unenforceable in respect of, one or more of the specified types of actions or proceedings. If a court were to find the exclusive forum provision contained in our certificate of incorporation and our bylaws to be inapplicable or unenforceable in an action, we might incur additional costs associated with resolving such action in other jurisdictions.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By purchasing our common stock, you are bound by the fee-shifting provision contained in our bylaws, which may discourage you from pursuing actions against us and could discourage stockholder lawsuits that might otherwise benefit us and our stockholders.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7.4 of our bylaws provides that “[i]f any action is brought by any party against another party, relating to or arising out of these Bylaws, or the enforcement hereof, the prevailing party shall be entitled to recover from the other party reasonable attorneys’ fees, costs and expenses incurred in connection with the prosecution or defense of such action, provided that the provisions of this sentence shall not apply with respect to “internal corporate claims” as defined in Section 115 of the DGCL or in connection with any other claim that a stockholder, acting in its capacity as a stockholder or in the right of the Corporation, has brought in an action, suit or proceeding.”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bylaws provide that for this section, the term “attorneys’ fees” or “attorneys’ fees and costs” means the fees and expenses of counsel to the Company and any other parties asserting a claim subject to Section 7.4 of the bylaws, which may include printing, photocopying, duplicating and other expenses, air freight charges, and fees billed for law clerks, paralegals and other persons not admitted to the bar but performing services under the supervision of an attorney, and the costs and fees incurred in connection with the enforcement or collection of any judgment obtained in any such proceeding.</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adopted the fee-shifting provision to eliminate or decrease nuisance and frivolous litigation. We intend to apply the fee-shifting provision broadly to all actions except for claims brought under the Exchange Act and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no set level of recovery required to be met by a plaintiff to avoid payment under this provision. Instead, whoever is the prevailing party is entitled to recover the reasonable attorneys’ fees, costs and expenses incurred in connection with the prosecution or defense of such action. Any party who brings an action, and the party against whom such action is brought under Section 7.4 of our bylaws, which could include, but is not limited to former and current stockholders, Company directors, officers, affiliates, legal counsel, expert witnesses and other parties, are subject to this provision. Additionally, any party who brings an action, and the party against whom such action is brought under Section 7.4 of our bylaws, which could include, but is not limited to former and current stockholders, Company directors, officers, affiliates, legal counsel, expert witnesses and other parties, would be able to recover fees under this provision.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you initiate or assert a claim against us, in accordance with the dispute resolution provisions contained in our Bylaws, and you do not, in a judgment prevail, you will be obligated to reimburse us for all reasonable costs and expenses incurred in connection with such claim, including, but not limited to, reasonable attorney’s fees and expenses and costs of appeal, if any. Additionally, this provision in Section 7.4 of our bylaws could discourage stockholder lawsuits that might otherwise benefit the Company and its stockholders.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FEE SHIFTING PROVISION CONTAINED IN THE BYLAWS IS NOT INTENDED TO BE DEEMED A WAIVER BY ANY HOLDER OF COMMON STOCK OF THE COMPANY’S COMPLIANCE WITH THE U.S. FEDERAL SECURITIES LAWS AND THE RULES AND REGULATIONS PROMULGATED THEREUNDER. THE FEE SHIFTING PROVISION CONTAINED IN THE BYLAWS DO NOT APPLY TO CLAIMS BROUGHT UNDER THE EXCHANGE ACT AND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subject to the risk of litigation by employees, consumers, partners, suppliers, competitors, stockholders, government agencies or others through private actions, class actions, administrative proceedings, regulatory actions or other litigation. The outcome of litigation, particularly class action lawsuits and regulatory actions, is difficult to assess or quantify. We may incur losses relating to these claims, and in addition, these proceedings could cause us to incur costs and may require us to devote resources to defend against these claims that could adversely affect our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natural disasters, terrorism, acts of war, and public health issues may adversely affect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Natural disasters, including earthquakes,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Public health issues, such as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customer demand. 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 We may be required to suspend operations in some or all our locations, which could have a material adverse effect on our business, financial condition, and results of operations. Any significant declines in public safety or uncertainties regarding future economic prospects that affect customer spending habits could have a material adverse effect on customer purchases of our products.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such as COVID-19, may materially and adversely affect our business.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results of operations, and financial condition may be materially adversely impacted if a public health outbreak, interferes with our ability, or the ability of our employees, contractors, suppliers, and other business partners to perform our and their respective responsibilities and obligations relative to the conduct of our business.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COVID-19 pandemic adversely affected financial markets worldwide, and any pandemics in the future that had the reach similar to COVID-19, may result in an economic downturn that could impact our business, financial condition and results of operations. As a result, our ability to fund through public or private equity offerings, debt financings, and through other means at acceptable terms, if at all, may be disrupted, in the event our financing needs for the foreseeable future are not able to be met by our balances of cash, cash equivalents and cash generated from operations.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COVID-19 pandemic and various governmental responses in the United States adversely affected our business operations. Any future pandemics may also adversely affect our business operations, including our ability to carry on business development activities, restrictions in business-related travel, delays or disruptions in our on-going projects, and unavailability of the employees of the Company or third parties with whom we conduct business, due to illness or quarantines, among others. Our business was previously negatively impacted by disruptions in our supply chain, which limited our ability to source merchandise, and limits on products fulfillment placed by Amazon. For example, we may be unable to launch new products, replenish inventory for existing products, ship into or receive inventory in our third-party warehouses in each case on a timely basis or at all. The extent to which future pandemics could impact our business will depend on future developments, which are highly uncertain and cannot be predicted with confidence, and will depend on many factors, including the duration of the outbreak, the effect of travel restrictions and social distancing efforts in the United States and other countries, the scope and length of business closures or business disruptions, and the actions taken by governments to contain and treat the disease. As such, we cannot presently predict the scope and extent of any potential business shutdowns or disruptions. Possible effects may include, but are not limited to, disruption to our customers and revenue, absenteeism in our labor workforce, unavailability of products and supplies used in our operations, shutdowns that may be mandated or requested by governmental authorities, and a decline in the value of our assets, including various long-lived assets.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senior management personnel or the failure to hire and retain highly skilled and other key personnel could negatively affect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depend on our senior management and other key personnel, particularly Sam Lai, our Chairman of the Board, Chief Executive Officer and Interim Chief Financial Officer. We do not have “key person” life insurance policies. We also rely on other highly skilled personnel. Competition for qualified personnel in the technology industry has historically been intense, particularly for software engineers, computer scientists, and other technical staff. The loss of any of our executive officers or other key employees or the inability to hire, train, retain, and manage qualified personnel, could harm our business.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ability of Sam Lai, our Chairman of the Board, Chief Executive Officer and Interim Chief Financial Officer and a significant stockholder, and Maggie Yu, our Senior Vice President, a member of our Board of Directors and a significant stockholder, who are husband and wife, to control our business may limit or eliminate minority stockholders’ ability to influence corporate affairs.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of March 24, 2026, Sam Lai, our Chairman of the Board, Chief Executive Officer, and Interim Chief Financial Officer, and a significant stockholder, and Maggie Yu, our Senior Vice President, member of the Board, and a significant stockholder, who are husband and wife, together beneficially owned an aggregate of 33,394,442 shares of our common stock, which represents approximately 94.8% of the voting power of our outstanding common stock. Because of this voting control through the shares of the common stock they beneficially own, they are able to significantly influence membership of our Board of Directors, as well as all other matters requiring stockholder approval. The interests of our Chief Executive Officer and Senior Vice President may differ from the interests of other stockholders with respect to the issuance of shares, business transactions with or sales to other companies, selection of other officers and directors and other business decisions. The minority stockholders will have no way of overriding decisions made by our Chief Executive Officer and our Senior Vice President.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controlled company, we are not subject to all of Nasdaq’s corporate governance rules.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“controlled company” exception to the Nasdaq rules provides that a company of which more than 50% of the voting power is held by an individual, group or another company, a “controlled company,” need not comply with certain requirements of the Nasdaq corporate governance rules. As of March 24, 2026, Mr. Lai, our Chairman of the Board, Chief Executive Officer, Interim Chief Financial Officer, and a significant stockholder, and Ms. Yu, our Senior Vice President, a member of the Board, and a significant stockholder, who are husband and wife, together beneficially owned an aggregate of 33,394,442 shares of our common stock, which represents approximately 94.8% of the voting power of our outstanding common stock. We are a “controlled company” within the meaning of Nasdaq’s corporate governance rules. Controlled companies are exempt from Nasdaq’s corporate governance rules requiring that listed companies have (i) a majority of the board of directors consist of “independent” directors under the Nasdaq listing standards, (ii) a nominating/corporate governance committee composed entirely of independent directors and a written nominating/corporate governance committee charter meeting Nasdaq’s requirements, and (iii) a compensation committee composed entirely of independent directors and a written compensation committee charter meeting the Nasdaq requirements. We currently utilize and presently intend to continue to utilize these exemptions. As a result, we may not have a majority of independent directors, our nomination and corporate governance committee and compensation committee may not consist entirely of independent directors and such committees may not be subject to annual performance evaluations. Accordingly, you may not have the same protections afforded to stockholders of companies that are subject to all of the corporate governance requirements of Nasdaq. See “Management—Board Committees and Director Independence—Controlled Company and Director Independence”.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is evolving and unfavorable changes could harm our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regulations and laws specifically governing the Internet and e-commerce. These regulations and laws cover taxation, privacy, data protection, data security, network security, consumer protection, pricing, content, copyrights, distribution, transportation, mobile communications, electronic device certification, electronic waste, energy consumption, environmental regulation, electronic contracts and other communications, competition, employment, trade and protectionist measures, web services, the provision of online payment services, registration, licensing, and information reporting requirements, unencumbered Internet access to our services or access to our facilities, the design and operation of websites, health, safety, and sanitation standards, the characteristics, legality, and quality of products and services, product labeling, the commercial operation of unmanned aircraft systems, and other matters. It is not clear how existing laws governing issues such as property ownership, libel, privacy, data protection, data security, network security, and consumer protection apply to aspects of our operations such as the Internet, e-commerce, digital content, web services, electronic devices, advertising, and artificial intelligence technologies and services. A large number of jurisdictions regulate our operations, and the extent, nature, and scope of such regulations is evolving and expanding as the scope of our businesses expands. Unfavorable regulations, laws, decisions, or interpretations by government or regulatory authorities applying those laws and regulations, or inquiries, investigations, or enforcement actions threatened or initiated by them, could cause us to incur substantial costs, expose us to unanticipated civil and criminal liability or penalties (including substantial monetary fines), diminish the demand for, or availability of, our products, increase our cost of doing business, require us to change our business practices in a manner materially adverse to our business, damage our reputation, impede our growth, or otherwise have a material effect on our operations.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product liability claims when people or property are harmed by the products we sell.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of the products we sell expose us to product liability claims relating to personal injury, illness, death, or environmental or property damage, and can require product recalls or other actions. Although we maintain liability insurance, we cannot be certain that our coverage will be adequate for liabilities actually incurred or that insurance will continue to be available to us on economically reasonable terms, or at all. Some of our agreements with our vendors do not indemnify us from product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to Ownership of Our Common Stock and Lack of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Nasdaq’s continued listing standards.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no guarantee that we will be able to maintain our Nasdaq listing for any period of time by perpetually satisfying Nasdaq’s continued listing requirements. Our failure to continue to meet these requirements may result in our common stock being delisted from Nasdaq, which could have a material adverse effect on the price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you could lose all or part of your investment.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predict the prices at which our common stock will trade in the future. The market price of our common stock may fluctuate substantially and will depend on a number of factors, including those described in this “Risk Factors” section, many of which are beyond our control and may not be related to our operating performance. In addition, the limited public float of our common stock will tend to increase the volatility of the trading price of our common stock. These fluctuations could cause you to lose all or part of your investment in our common stock, since you might not be able to sell your shares. Factors that could cause fluctuations in the market price of our common stock include, but are not limited to, the following:</w:t>
      </w:r>
    </w:p>
    <w:p>
      <w:pPr>
        <w:spacing w:after="0" w:line="183" w:lineRule="exact"/>
        <w:rPr>
          <w:sz w:val="20"/>
          <w:szCs w:val="20"/>
          <w:color w:val="auto"/>
        </w:rPr>
      </w:pPr>
    </w:p>
    <w:p>
      <w:pPr>
        <w:ind w:left="960" w:hanging="331"/>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960" w:right="20" w:hanging="331"/>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new or terminated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contractual lock-up agreements and sales of shares of our common stock by us or our stockholders;</w:t>
      </w:r>
    </w:p>
    <w:p>
      <w:pPr>
        <w:spacing w:after="0" w:line="225" w:lineRule="exact"/>
        <w:rPr>
          <w:rFonts w:ascii="Times New Roman" w:cs="Times New Roman" w:eastAsia="Times New Roman" w:hAnsi="Times New Roman"/>
          <w:sz w:val="18"/>
          <w:szCs w:val="18"/>
          <w:color w:val="auto"/>
        </w:rPr>
      </w:pPr>
    </w:p>
    <w:p>
      <w:pPr>
        <w:ind w:left="960" w:hanging="331"/>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ind w:left="960" w:hanging="33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rights, our products, or third-party proprietary rights;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management or our board of directors, particularly with respect to Mr. Lai;</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has experienced extreme price and volume fluctuations that have often been unrelated or disproportionate to the operating performance of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materially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may be subject to the “penny stock” rules in the future. It may be more difficult to resell securities classified as “penny stock.”</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common stock may be subject to “penny stock” rules (generally defined as non-exchange traded stock with a per-share price below $5.00) in the future. While our common stock is not currently considered “penny stock” since it is listed on the Nasdaq, if we are unable to maintain that listing and our common stock is no longer listed on the Nasdaq, unless we maintain a per-share price above $5.00, our common stock will become “penny stock.” These rules impose additional sales practice requirements on broker-dealers that recommend the purchase or sale of penny stocks to persons other than those who qualify as “established customers” or “accredited investors.” For example, broker-dealers must determine the appropriateness for non-qualifying persons of investments in penny stocks. Broker-dealers must also provide, prior to a transaction in a penny stock not otherwise exempt from the rules, a standardized risk disclosure document that provides information about penny stocks and the risks in the penny stock market. The broker-dealer also must provide the customer with current bid and offer quotations for the penny stock, disclose the compensation of the broker-dealer and its salesperson in the transaction, furnish monthly account statements showing the market value of each penny stock held in the customer’s account, provide a special written determination that the penny stock is a suitable investment for the purchaser, and receive the purchaser’s written agreement to the transaction.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remedies available to an investor in “penny stocks” may include the following:</w:t>
      </w:r>
    </w:p>
    <w:p>
      <w:pPr>
        <w:spacing w:after="0" w:line="225" w:lineRule="exact"/>
        <w:rPr>
          <w:sz w:val="20"/>
          <w:szCs w:val="20"/>
          <w:color w:val="auto"/>
        </w:rPr>
      </w:pPr>
    </w:p>
    <w:p>
      <w:pPr>
        <w:ind w:left="960" w:right="20" w:hanging="331"/>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“penny stock” is sold to the investor in violation of the requirements listed above, or other federal or states securities laws, the investor may be able to cancel the purchase and receive a refund of the investment.</w:t>
      </w:r>
    </w:p>
    <w:p>
      <w:pPr>
        <w:spacing w:after="0" w:line="161" w:lineRule="exact"/>
        <w:rPr>
          <w:rFonts w:ascii="Times New Roman" w:cs="Times New Roman" w:eastAsia="Times New Roman" w:hAnsi="Times New Roman"/>
          <w:sz w:val="18"/>
          <w:szCs w:val="18"/>
          <w:color w:val="auto"/>
        </w:rPr>
      </w:pPr>
    </w:p>
    <w:p>
      <w:pPr>
        <w:ind w:left="960" w:right="20" w:hanging="331"/>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“penny stock” is sold to the investor in a fraudulent manner, the investor may be able to sue the persons and firms that committed the fraud for damages.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requirements may have the effect of reducing the level of trading activity, if any, in the secondary market for a security that becomes subject to the penny stock rules. The additional burdens imposed upon broker-dealers by such requirements may discourage broker-dealers from effecting transactions in our securities, which could severely limit the market price and liquidity of our securities. These requirements may restrict the ability of broker-dealers to sell our common stock and may affect your ability to resell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brokerage firms will discourage or refrain from recommending investments in penny stocks. Most institutional investors will not invest in penny stocks. In addition, many individual investors will not invest in penny stocks due, among other reasons, to the increased financial risk generally associated with these investments.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these reasons, penny stocks may have a limited market and, consequently, limited liquidity. We can give no assurance that our common stock will not be classified as a “penny stock” in the future.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benefits of any proposed acquisition do not meet the expectations of investors, stockholders or financial analysts, the market price of our common stock may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benefits of any proposed acquisition do not meet the expectations of investors or securities analysts, the market price of our common stock prior to the closing of the proposed acquisition may decline. The market values of our common stock at the time of the proposed acquisition may vary significantly from their prices on the date the acquisition target was identified.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broad market and industry factors may materially harm the market price of our common stock irrespective of our operating performance. The stock market in general has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and guidance, or their interpretation, could result in unfavorable accounting charges or effects, including changes to our previously filed financial statements, which could cause our stock price to decline.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(“GAAP”). These principles are subject to interpretation by the SEC and various bodies formed to interpret and create appropriate accounting principles and guidance. A change in these principles or guidance, or in their interpretations, may have a significant effect on our reported results and retroactively affect previously reported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under the Jumpstart Our Business Startups Act of 2012, as amended (the “JOBS Act”), we are permitted to rely on exemptions from certain disclosure requirements.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qualify as an “emerging growth company” under the JOBS Act. As a result, we are permitted to, and intend to, rely on exemptions from certain disclosure requirements. For so long as we are an emerging growth company, we will not be required to:</w:t>
      </w:r>
    </w:p>
    <w:p>
      <w:pPr>
        <w:spacing w:after="0" w:line="162" w:lineRule="exact"/>
        <w:rPr>
          <w:sz w:val="20"/>
          <w:szCs w:val="20"/>
          <w:color w:val="auto"/>
        </w:rPr>
      </w:pPr>
    </w:p>
    <w:p>
      <w:pPr>
        <w:ind w:left="960" w:hanging="331"/>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auditor report on our internal control over financial reporting pursuant to Section 404(b) of the Sarbanes-Oxley Act of 2002, as amended (the “Sarbanes-Oxley Act”);</w:t>
      </w:r>
    </w:p>
    <w:p>
      <w:pPr>
        <w:spacing w:after="0" w:line="161" w:lineRule="exact"/>
        <w:rPr>
          <w:rFonts w:ascii="Times New Roman" w:cs="Times New Roman" w:eastAsia="Times New Roman" w:hAnsi="Times New Roman"/>
          <w:sz w:val="18"/>
          <w:szCs w:val="18"/>
          <w:color w:val="auto"/>
        </w:rPr>
      </w:pPr>
    </w:p>
    <w:p>
      <w:pPr>
        <w:jc w:val="both"/>
        <w:ind w:left="960" w:hanging="331"/>
        <w:spacing w:after="0" w:line="266"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any requirement that may be adopted by the Public Company Accounting Oversight Board regarding mandatory audit firm rotation or a supplement to the auditors’ report providing additional information about the audit and the consolidated financial statements (i.e., an auditor discussion and analysis);</w:t>
      </w:r>
    </w:p>
    <w:p>
      <w:pPr>
        <w:spacing w:after="0" w:line="17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certain executive compensation matters to stockholder advisory votes, such as “say-on-pay” and “say-on-frequency”; and</w:t>
      </w:r>
    </w:p>
    <w:p>
      <w:pPr>
        <w:spacing w:after="0" w:line="225" w:lineRule="exact"/>
        <w:rPr>
          <w:rFonts w:ascii="Times New Roman" w:cs="Times New Roman" w:eastAsia="Times New Roman" w:hAnsi="Times New Roman"/>
          <w:sz w:val="18"/>
          <w:szCs w:val="18"/>
          <w:color w:val="auto"/>
        </w:rPr>
      </w:pPr>
    </w:p>
    <w:p>
      <w:pPr>
        <w:ind w:left="960" w:right="20" w:hanging="331"/>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certain executive compensation related items such as the correlation between executive compensation and performance and comparisons of the chief executive officer’s compensation to median employee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Section 102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consolidated financial statements may therefore not be comparable to those of companies that comply with such new or revised accounting standards.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end of the first fiscal year in which our annual gross revenue is $1.07 billion or more; (ii) the end of the fiscal year in which the market value of our common shares that are held by non-affiliates is at least $700.0 million as of the last business day of our most recently completed second fiscal quarter; (iii) the date on which we have, during the previous three-year period, issued more than $1.0 billion in non-convertible debt; and (iv) the end of the fiscal year during which the fifth anniversary of our initial public offering occurs.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such time, however, we cannot predict if investors will find our securities less attractive because we may rely on these exemptions. If some investors find our securities less attractive as a result, there may be a less active trading market for our securities and the price of our securities may be more volatile.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financial reports and have an adverse effect on the value of our securities.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Further, we are required to report any changes in internal controls on a quarterly basis. In addition, we are required to furnish a report by management on the effectiveness of internal control over financial reporting pursuant to Section 404 of the Sarbanes-Oxley Act. We have, and will continue to, design, implement, and test the internal control over financial reporting required to comply with these obligations. If we identify material weaknesses in our internal control over financial reporting, if we are unable to comply with the requirements of Section 404 in a timely manner or assert that our internal control over financial reporting is effective, or if our independent registered public accounting firm is unable to express an opinion as to the effectiveness of its internal control over financial reporting when required, investors may lose confidence in the accuracy and completeness of our financial reports and the value of our securities could be negatively affected. We also could become subject to investigations by the SEC or other regulatory authorities, which could require additional financial and management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emerging growth company, our auditor will not be required to attest to the effectiveness of our internal controls.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attest to the effectiveness of our internal control over financial reporting while we are an emerging growth company. This means that the effectiveness of our financial operations may differ from our peer companies in that they may be required to obtain independent registered public accounting firm attestations as to the effectiveness of their internal controls over financial reporting and we are not. While our management will be required to attest to internal control over financial reporting and we will be required to detail changes to our internal controls on a quarterly basis, we cannot provide assurance that the independent registered public accounting firm’s review process in assessing the effectiveness of our internal controls over financial reporting, if obtained, would not find one or more material weaknesses or significant deficiencies. Further, once we cease to be an emerging growth company and cease to be a smaller reporting company (as described below), we will be subject to independent registered public accounting firm attestation regarding the effectiveness of our internal controls over financial reporting. Even if management finds such controls to be effective, our independent registered public accounting firm may decline to attest to the effectiveness of such internal controls and issue a qualified report.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accordingly, are exempt from certain disclosure requirements, which could make our common stock less attractive to potential investors.</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Rule 12b-2 of the Exchange Act defines a “smaller reporting company” as an issuer that is not an investment company, an asset-backed issuer, or a majority-owned subsidiary of a parent that is not a smaller reporting company and that:</w:t>
      </w:r>
    </w:p>
    <w:p>
      <w:pPr>
        <w:spacing w:after="0" w:line="162" w:lineRule="exact"/>
        <w:rPr>
          <w:sz w:val="20"/>
          <w:szCs w:val="20"/>
          <w:color w:val="auto"/>
        </w:rPr>
      </w:pPr>
    </w:p>
    <w:p>
      <w:pPr>
        <w:jc w:val="both"/>
        <w:ind w:left="960" w:hanging="331"/>
        <w:spacing w:after="0" w:line="261"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had a public float of less than $250 million as of the last business day of its most recently completed second fiscal quarter, computed by multiplying the aggregate worldwide number of shares of its voting and non-voting common equity held by non-affiliates by the price at which the common equity was last sold, or the average of the bid and asked prices of common equity, in the principal market for the common equity; or</w:t>
      </w:r>
    </w:p>
    <w:p>
      <w:pPr>
        <w:spacing w:after="0" w:line="179" w:lineRule="exact"/>
        <w:rPr>
          <w:rFonts w:ascii="Times New Roman" w:cs="Times New Roman" w:eastAsia="Times New Roman" w:hAnsi="Times New Roman"/>
          <w:sz w:val="18"/>
          <w:szCs w:val="18"/>
          <w:color w:val="auto"/>
        </w:rPr>
      </w:pPr>
    </w:p>
    <w:p>
      <w:pPr>
        <w:jc w:val="both"/>
        <w:ind w:left="960" w:hanging="331"/>
        <w:spacing w:after="0" w:line="261"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initial registration statement under the Securities Act or the Exchange Act for shares of its common equity, had a public float of less than $250 million as of a date within 30 days of the date of the filing of the registration statement, computed by multiplying the aggregate worldwide number of such shares held by non-affiliates before the registration plus, in the case of a Securities Act registration statement, the number of such shares included in the registration statement by the estimated public offering price of the shares; or</w:t>
      </w:r>
    </w:p>
    <w:p>
      <w:pPr>
        <w:spacing w:after="0" w:line="179" w:lineRule="exact"/>
        <w:rPr>
          <w:rFonts w:ascii="Times New Roman" w:cs="Times New Roman" w:eastAsia="Times New Roman" w:hAnsi="Times New Roman"/>
          <w:sz w:val="18"/>
          <w:szCs w:val="18"/>
          <w:color w:val="auto"/>
        </w:rPr>
      </w:pPr>
    </w:p>
    <w:p>
      <w:pPr>
        <w:jc w:val="both"/>
        <w:ind w:left="960" w:hanging="331"/>
        <w:spacing w:after="0" w:line="26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issuer whose public float as calculated under the first or second bullets was zero or whose public float was less than $700 million, had annual revenues of less than $100 million during the most recently completed fiscal year for which audited financial statements are available.</w:t>
      </w:r>
    </w:p>
    <w:p>
      <w:pPr>
        <w:spacing w:after="0" w:line="176" w:lineRule="exact"/>
        <w:rPr>
          <w:sz w:val="20"/>
          <w:szCs w:val="20"/>
          <w:color w:val="auto"/>
        </w:rPr>
      </w:pPr>
    </w:p>
    <w:p>
      <w:pPr>
        <w:jc w:val="both"/>
        <w:ind w:firstLine="729"/>
        <w:spacing w:after="0" w:line="261" w:lineRule="auto"/>
        <w:rPr>
          <w:sz w:val="20"/>
          <w:szCs w:val="20"/>
          <w:color w:val="auto"/>
        </w:rPr>
      </w:pPr>
      <w:r>
        <w:rPr>
          <w:rFonts w:ascii="Times New Roman" w:cs="Times New Roman" w:eastAsia="Times New Roman" w:hAnsi="Times New Roman"/>
          <w:sz w:val="18"/>
          <w:szCs w:val="18"/>
          <w:color w:val="auto"/>
        </w:rPr>
        <w:t>As a smaller reporting company, we are not required, and may not include, a Compensation Discussion and Analysis section in our proxy statements; we will provide only two years of financial statements; and we need not provide the table of selected financial data. We also will have other “scaled” disclosure requirements that are less comprehensive than issuers that are not smaller reporting companies which could make our common stock less attractive to potential investors, which could make it more difficult for our stockholders to sell their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In addition, the Sarbanes-Oxley Act has imposed various requirements on public companies, including requiring establishment and maintenance of effective disclosure and financial controls. Our management and other personnel must devote a substantial amount of time to these compliance initiatives. Moreover, these rules and regulations have increased and will continue to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In addition, we are required to have our independent registered public accounting firm attest to the effectiveness of our internal control over financial reporting on the later of our second annual report on Form 10-K or the first annual report on Form 10-K following the date on which we are no longer an emerging growth company or a smaller reporting company.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are not able to comply with the requirements of Section 404 in a timely manner, or if we or our independent registered public accounting firm identify deficiencies in our internal control over financial reporting that are deemed to be material weaknesses, the value of our securities could decline and we could be subject to sanctions or investigations by the SEC or other regulatory authorities, which would require additional financial and management resources.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successfully implement our business plan and comply with Section 404 requires us to be able to prepare timely and accurate financial statements. We expect that we will need to continue to improve existing controls,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have an adverse impact on value of our securities, and could adversely affect our ability to access the capital markets.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certificate of incorporation and bylaws, as well as provisions of Delaware law, could impair a takeover attempt.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have the effect of delaying or preventing changes in control or changes in our management without the consent of our board of directors. These provisions include:</w:t>
      </w:r>
    </w:p>
    <w:p>
      <w:pPr>
        <w:spacing w:after="0" w:line="162" w:lineRule="exact"/>
        <w:rPr>
          <w:sz w:val="20"/>
          <w:szCs w:val="20"/>
          <w:color w:val="auto"/>
        </w:rPr>
      </w:pPr>
    </w:p>
    <w:p>
      <w:pPr>
        <w:ind w:left="960" w:hanging="331"/>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ind w:left="960" w:hanging="331"/>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jc w:val="both"/>
        <w:ind w:left="960" w:hanging="331"/>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determine whether to issue shares of our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liability of, and providing indemnification to, our directors and officers;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a special meeting of the stockholders may only be called by a majority of the board of directors;</w:t>
      </w:r>
    </w:p>
    <w:p>
      <w:pPr>
        <w:spacing w:after="0" w:line="225" w:lineRule="exact"/>
        <w:rPr>
          <w:rFonts w:ascii="Times New Roman" w:cs="Times New Roman" w:eastAsia="Times New Roman" w:hAnsi="Times New Roman"/>
          <w:sz w:val="18"/>
          <w:szCs w:val="18"/>
          <w:color w:val="auto"/>
        </w:rPr>
      </w:pPr>
    </w:p>
    <w:p>
      <w:pPr>
        <w:ind w:left="960" w:hanging="331"/>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that directors may be removed prior to the expiration of their terms by the affirmative vote of the holders of not less than 2/3 of the voting power of the issued and outstanding stock entitled to vote; and</w:t>
      </w:r>
    </w:p>
    <w:p>
      <w:pPr>
        <w:spacing w:after="0" w:line="161" w:lineRule="exact"/>
        <w:rPr>
          <w:rFonts w:ascii="Times New Roman" w:cs="Times New Roman" w:eastAsia="Times New Roman" w:hAnsi="Times New Roman"/>
          <w:sz w:val="18"/>
          <w:szCs w:val="18"/>
          <w:color w:val="auto"/>
        </w:rPr>
      </w:pPr>
    </w:p>
    <w:p>
      <w:pPr>
        <w:jc w:val="both"/>
        <w:ind w:left="960" w:hanging="331"/>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provisions, alone or together, could delay hostile takeovers and changes in control of the Company or changes in our board of directors and management.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law that has the effect of delaying or deterring a change in control could limit the opportunity for our security holders to receive a premium for their securities and could also affect the price that some investors are willing to pay for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common stock and have no plans to do so in the future.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Holders of shares of our common stock are entitled to receive such dividends as may be declared by our board of directors. To date, we have paid no cash dividends on our shares of common stock and we do not expect to pay cash dividends on our common stock in the foreseeable future. We intend to retain future earnings, if any, to provide funds for operation of our business. Therefore, any return investors in our common stock may have will be in the form of appreciation, if any, in the market value of their shares of common stock. See Part II, Item 5 “Market for Registrant’s Common Equity, Related Stockholder Matters and Issuer Purchases of Equity Securities—Dividends.”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indemnify and hold harmless our officers and directors to the maximum extent permitted by Delaware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provides that we will indemnify and hold harmless our officers and directors against claims arising from our activities, to the maximum extent permitted by Delaware law. If we were called upon to perform under our indemnification obligations, then the portion of our assets expended for such purpose would reduce the amount otherwise available for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cybersecurity risk management program, processes and strategy outlined in this section are limited to the personal and business information belonging to or maintained by the Company (collectively, “Confidential Information”), the Company’s critical third-party systems and services supporting or used by the Company (collectively, “Critical Systems”), and service providers.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develop and implement a cybersecurity risk management program to safeguard the confidentiality, integrity, and availability of our Confidential Information and Critical Systems. Our cybersecurity risk management program will be integrated into our broader enterprise risk management framework and includes a cybersecurity incident response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cybersecurity risk management program shall include:</w:t>
      </w:r>
    </w:p>
    <w:p>
      <w:pPr>
        <w:spacing w:after="0" w:line="225" w:lineRule="exact"/>
        <w:rPr>
          <w:sz w:val="20"/>
          <w:szCs w:val="20"/>
          <w:color w:val="auto"/>
        </w:rPr>
      </w:pPr>
    </w:p>
    <w:p>
      <w:pPr>
        <w:ind w:left="960" w:hanging="331"/>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to identify material cybersecurity risks to our Confidential Information, Critical Systems and broader enterprise IT environment;</w:t>
      </w:r>
    </w:p>
    <w:p>
      <w:pPr>
        <w:spacing w:after="0" w:line="161" w:lineRule="exact"/>
        <w:rPr>
          <w:rFonts w:ascii="Times New Roman" w:cs="Times New Roman" w:eastAsia="Times New Roman" w:hAnsi="Times New Roman"/>
          <w:sz w:val="18"/>
          <w:szCs w:val="18"/>
          <w:color w:val="auto"/>
        </w:rPr>
      </w:pPr>
    </w:p>
    <w:p>
      <w:pPr>
        <w:ind w:left="960" w:hanging="331"/>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dedicated security team responsible for managing (1) cybersecurity risk assessment processes, (2) security controls, and (3) response to cybersecurity incidents;</w:t>
      </w:r>
    </w:p>
    <w:p>
      <w:pPr>
        <w:spacing w:after="0" w:line="161"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including spear-phishing resistance for employees, and senior management;</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outlining procedures for detecting, responding to, and mitigating cybersecurity incidents; and</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vendor management policy to oversee cybersecurity risks associated with service providers.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identified any known cybersecurity threats, including prior incidents, that have materially affected or are reasonably likely to materially affect our operations, business strategy, results of operations, or financial condition. However, we recognize that cybersecurity threats pose ongoing risks which, if realized, could have a material adverse impact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executive management team, in collaboration with our managed information technology service provider, is responsible for assessing and managing cybersecurity risks to the Company, including our Confidential Information and Critical Systems. The team holds primary responsibility for our cybersecurity risk management program and works closely with our IT service provider to ensure its effective implementation.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ind w:firstLine="648"/>
        <w:spacing w:after="0" w:line="282" w:lineRule="auto"/>
        <w:rPr>
          <w:sz w:val="20"/>
          <w:szCs w:val="20"/>
          <w:color w:val="auto"/>
        </w:rPr>
      </w:pPr>
      <w:r>
        <w:rPr>
          <w:rFonts w:ascii="Times New Roman" w:cs="Times New Roman" w:eastAsia="Times New Roman" w:hAnsi="Times New Roman"/>
          <w:sz w:val="18"/>
          <w:szCs w:val="18"/>
          <w:color w:val="auto"/>
        </w:rPr>
        <w:t>Our management team meets regularly with our IT service provider to review current cybersecurity issues. These discussions may cover efforts to prevent, detect, mitigate, and remediate cybersecurity risks and incidents through various means, including:</w:t>
      </w:r>
    </w:p>
    <w:p>
      <w:pPr>
        <w:spacing w:after="0" w:line="162" w:lineRule="exact"/>
        <w:rPr>
          <w:sz w:val="20"/>
          <w:szCs w:val="20"/>
          <w:color w:val="auto"/>
        </w:rPr>
      </w:pPr>
    </w:p>
    <w:p>
      <w:pPr>
        <w:ind w:left="960" w:hanging="331"/>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intelligence from governmental, public private, and external sources</w:t>
      </w:r>
    </w:p>
    <w:p>
      <w:pPr>
        <w:spacing w:after="0" w:line="225" w:lineRule="exact"/>
        <w:rPr>
          <w:rFonts w:ascii="Times New Roman" w:cs="Times New Roman" w:eastAsia="Times New Roman" w:hAnsi="Times New Roman"/>
          <w:sz w:val="18"/>
          <w:szCs w:val="18"/>
          <w:color w:val="auto"/>
        </w:rPr>
      </w:pPr>
    </w:p>
    <w:p>
      <w:pPr>
        <w:ind w:left="660" w:right="2240" w:hanging="31"/>
        <w:spacing w:after="0" w:line="500" w:lineRule="auto"/>
        <w:tabs>
          <w:tab w:leader="none" w:pos="9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alerts and reports generated by security tools deployed in the IT environment, including a spear-phishing report. Our Board incorporates cybersecurity risks into its broader risk oversight responsibility.</w:t>
      </w:r>
    </w:p>
    <w:p>
      <w:pPr>
        <w:spacing w:after="0" w:line="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Board oversees the implementation of our cybersecurity risk management program. The executive management team provides updates to the Board, as needed, on significant cybersecurity incidents.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receives periodic reports from management on cybersecurity risks and the cybersecurity risk management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at 8201 164th Ave. NE, #200, Redmond, Washington 98052-7615, where we rent a virtual office from an unaffiliated third party under a virtual office/meeting room agreement. This agreement provides for daily telephone answering, messaging and fax services, and paid access to conference rooms on an as-needed basis. The virtual office arrangement expires on August 31, 2026. Terms of the virtual office arrangement provide for a rent payment of $59 per month.</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lease a warehouse located at Qiaojiao Road, No. 1, Qiaojiao Middle Road, Tangxia Town, Dongguan City, Guangdong, China, who handle our storage and warehousing from an unaffiliated third party. The terms of this service provide for a base payment that is charged based on our usage.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Flywheel, our wholly owned subsidiary, had two office leases in Taiwan in 2025. The respective lease terms are June 10, 2025 to July 9, 2027, and December 1, 2025 to November 30, 2028 and the total contract amounts are $127,226, and $79,971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these facilities are adequate for our current and near-term future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involved in various claims and legal actions arising in the ordinary course of business. To the knowledge of our management, there are no legal proceedings currently pending against us which we believe would have a material effect on our business, financial position or results of operations and, to the best of our knowledge, there are no such legal proceedings contemplated or threatened.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The Nasdaq Capital Market and its stock symbol is “HOUR.” The closing price of our common stock on Nasdaq on March 23, 2026 was $1.89.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24, 2026, there were 35,183,890 shares of common stock issued and outstanding, and we had approximately 5 holders of record of our common stock. The number of record holders does not include beneficial owners of common stock whose shares are held in the names of banks, brokers, nominees or other fiduciaries.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paid any cash dividends on our common stock and do not currently anticipate paying cash dividends in the foreseeable future. We intend to retain future earnings, if any, for reinvestment in the development and expansion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Authorized for Issuance Under Equity Compensation Plans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27, 2021, our Board of Directors and stockholders holding a majority of our outstanding shares of common stock approved the Hour Loop, Inc. 2021 Equity Incentive Plan (the “2021 Plan”). Under the 2021 Plan, a total of 4,995,000 shares of common stock were originally authorized for issuance pursuant to the grant of stock options, stock appreciation rights, restricted stock, restricted stock units (“RSUs”), performance units, performance shares or other cash- or stock-based awards to officers, directors, employees and eligible consultants to the Company or its subsidiaries. Pursuant to the terms of the 2021 Plan and subject to adjustment as provided in the 2021 Plan, the maximum aggregate number of shares that may be issued under the 2021 Plan will be cumulatively increased on January 1, 2022 and on each subsequent January 1, by a number of shares equal to the smaller of (i) 3% of the number of shares of common stock issued and outstanding on the immediately preceding December 31, or (ii) an amount determined by our Board of Directors. As of March 24, 2026, there were 9,152,213 shares available for issuance under the 2021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 2025, the Company issued 1,596 shares of Company common stock to each of Sam Lai, Maggie Yu, Michael Lenner, Alan Gao and Hillary Bui, with a fair market value of $1.8799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 2025, the Company issued 1,750 shares of Company common stock to each of Sam Lai, Maggie Yu, Michael Lenner, Alan Gao and Hillary Bui, with a fair market value of $1.7140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 2025, the Company issued 2,275 shares of Company common stock to each of Sam Lai, Maggie Yu, Michael Lenner, Alan Gao and Hillary Bui, with a fair market value of $1.3185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3, 2025, the Company issued 951 shares of Company common stock to each of Sam Lai, Maggie Yu, Michael Lenner, Alan Gao and Hillary Bui, with a fair market value of $3.1530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issuances were made pursuant to an exemption from registration as set forth in Rule 506 of Regulation D and Section 4(a)(2) of the Securities Act and/or Regulation S promulgated under the Securities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transfer agent is Nevada Agency and Transfer Company. The transfer agent’s address is 50 West Liberty Street, Suite 880, Reno, Nevada 89501, and its telephone number is (775) 322-0626.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Note Regarding Forward-Looking Statements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 included in this annual report on Form 10-K, including, without limitation, statements under “Management’s Discussion and Analysis of Financial Condition and Results of Operations” regarding our financial position, business strategy and the plans and objectives of management for future operations, are forward-looking statements. When used in this annual report, words such as “anticipate,” “believe,” “estimate,” “expect,” “intend” and similar expressions, as they relate to us or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forward-looking statements as a result of certain factors detailed in our filings with the SEC.</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the notes thereto contained elsewhere in this annual report on Form 10-K. Certain information contained in the discussion and analysis set forth below includes forward-looking statements that involve risks and uncertainties. Unless the context otherwise requires, “Hour Loop,” “we,” “us,” “our,” or the “Company” refers to Hour Loop, Inc., together with Flywheel Consulting Limited, its wholly owned subsidiary (“Flywheel”).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are an online retailer engaged in e-commerce retailing in the U.S. market. We have operated as a third-party seller on </w:t>
      </w:r>
      <w:r>
        <w:rPr>
          <w:rFonts w:ascii="Times New Roman" w:cs="Times New Roman" w:eastAsia="Times New Roman" w:hAnsi="Times New Roman"/>
          <w:sz w:val="18"/>
          <w:szCs w:val="18"/>
          <w:i w:val="1"/>
          <w:iCs w:val="1"/>
          <w:color w:val="auto"/>
        </w:rPr>
        <w:t>www.amazon.com</w:t>
      </w:r>
      <w:r>
        <w:rPr>
          <w:rFonts w:ascii="Times New Roman" w:cs="Times New Roman" w:eastAsia="Times New Roman" w:hAnsi="Times New Roman"/>
          <w:sz w:val="18"/>
          <w:szCs w:val="18"/>
          <w:color w:val="auto"/>
        </w:rPr>
        <w:t xml:space="preserve"> since 2013. We have also sold merchandise on our website at </w:t>
      </w:r>
      <w:r>
        <w:rPr>
          <w:rFonts w:ascii="Times New Roman" w:cs="Times New Roman" w:eastAsia="Times New Roman" w:hAnsi="Times New Roman"/>
          <w:sz w:val="18"/>
          <w:szCs w:val="18"/>
          <w:i w:val="1"/>
          <w:iCs w:val="1"/>
          <w:color w:val="auto"/>
        </w:rPr>
        <w:t>www.hourloop.com</w:t>
      </w:r>
      <w:r>
        <w:rPr>
          <w:rFonts w:ascii="Times New Roman" w:cs="Times New Roman" w:eastAsia="Times New Roman" w:hAnsi="Times New Roman"/>
          <w:sz w:val="18"/>
          <w:szCs w:val="18"/>
          <w:color w:val="auto"/>
        </w:rPr>
        <w:t xml:space="preserve"> since 2013. We expanded our operations to </w:t>
      </w:r>
      <w:r>
        <w:rPr>
          <w:rFonts w:ascii="Times New Roman" w:cs="Times New Roman" w:eastAsia="Times New Roman" w:hAnsi="Times New Roman"/>
          <w:sz w:val="18"/>
          <w:szCs w:val="18"/>
          <w:i w:val="1"/>
          <w:iCs w:val="1"/>
          <w:color w:val="auto"/>
        </w:rPr>
        <w:t>www.walmart.com</w:t>
      </w:r>
      <w:r>
        <w:rPr>
          <w:rFonts w:ascii="Times New Roman" w:cs="Times New Roman" w:eastAsia="Times New Roman" w:hAnsi="Times New Roman"/>
          <w:sz w:val="18"/>
          <w:szCs w:val="18"/>
          <w:color w:val="auto"/>
        </w:rPr>
        <w:t xml:space="preserve"> in October 2020. To date, we have generated practically all of our revenue as a third-party seller on </w:t>
      </w:r>
      <w:r>
        <w:rPr>
          <w:rFonts w:ascii="Times New Roman" w:cs="Times New Roman" w:eastAsia="Times New Roman" w:hAnsi="Times New Roman"/>
          <w:sz w:val="18"/>
          <w:szCs w:val="18"/>
          <w:i w:val="1"/>
          <w:iCs w:val="1"/>
          <w:color w:val="auto"/>
        </w:rPr>
        <w:t>www.amazon.com</w:t>
      </w:r>
      <w:r>
        <w:rPr>
          <w:rFonts w:ascii="Times New Roman" w:cs="Times New Roman" w:eastAsia="Times New Roman" w:hAnsi="Times New Roman"/>
          <w:sz w:val="18"/>
          <w:szCs w:val="18"/>
          <w:color w:val="auto"/>
        </w:rPr>
        <w:t xml:space="preserve"> and only a negligible amount of revenue from our operations on our website at </w:t>
      </w:r>
      <w:r>
        <w:rPr>
          <w:rFonts w:ascii="Times New Roman" w:cs="Times New Roman" w:eastAsia="Times New Roman" w:hAnsi="Times New Roman"/>
          <w:sz w:val="18"/>
          <w:szCs w:val="18"/>
          <w:i w:val="1"/>
          <w:iCs w:val="1"/>
          <w:color w:val="auto"/>
        </w:rPr>
        <w:t>www.hourloop.com</w:t>
      </w:r>
      <w:r>
        <w:rPr>
          <w:rFonts w:ascii="Times New Roman" w:cs="Times New Roman" w:eastAsia="Times New Roman" w:hAnsi="Times New Roman"/>
          <w:sz w:val="18"/>
          <w:szCs w:val="18"/>
          <w:color w:val="auto"/>
        </w:rPr>
        <w:t xml:space="preserve"> and as a third-party seller on </w:t>
      </w:r>
      <w:r>
        <w:rPr>
          <w:rFonts w:ascii="Times New Roman" w:cs="Times New Roman" w:eastAsia="Times New Roman" w:hAnsi="Times New Roman"/>
          <w:sz w:val="18"/>
          <w:szCs w:val="18"/>
          <w:i w:val="1"/>
          <w:iCs w:val="1"/>
          <w:color w:val="auto"/>
        </w:rPr>
        <w:t>www.walmart.com</w:t>
      </w:r>
      <w:r>
        <w:rPr>
          <w:rFonts w:ascii="Times New Roman" w:cs="Times New Roman" w:eastAsia="Times New Roman" w:hAnsi="Times New Roman"/>
          <w:sz w:val="18"/>
          <w:szCs w:val="18"/>
          <w:color w:val="auto"/>
        </w:rPr>
        <w:t>. We manage more than 100,000 stock-keeping units (“SKUs”). Product categories include home/garden décor, toys, kitchenware, apparel, and electronics. Our primary strategy is to bring most of our vendors’ product selections to the customers. We have advanced software that assists us in identifying product gaps so we can keep such products in stock year-round including the entirety of the last quarter (holiday season) of the calendar year (“Q4”). In upcoming years, we plan to expand our business rapidly by increasing the number of business managers, vendors and SKUs.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Model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There are three main types of business models on Amazon: wholesale, private label and retail arbitrage. Our business model is wholesale, also known as reselling, which refers to buying products in bulk directly from the brand or manufacturer at a wholesale price and making a profit by selling the product on Amazon. We sell merchandise on Amazon and the sales are fulfilled by Amazon. We pay Amazon fees for allowing us to sell on their platform. Our relationship with Walmart is also similar. We pay Walmart fees for allowing us to sell our merchandise on their platform. As stated above, to date, we have generated only a negligible amount of revenues as a third-party seller on </w:t>
      </w:r>
      <w:r>
        <w:rPr>
          <w:rFonts w:ascii="Times New Roman" w:cs="Times New Roman" w:eastAsia="Times New Roman" w:hAnsi="Times New Roman"/>
          <w:sz w:val="18"/>
          <w:szCs w:val="18"/>
          <w:i w:val="1"/>
          <w:iCs w:val="1"/>
          <w:color w:val="auto"/>
        </w:rPr>
        <w:t>www.walmart.com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The advantages of selling via a wholesale model:</w:t>
      </w:r>
    </w:p>
    <w:p>
      <w:pPr>
        <w:spacing w:after="0" w:line="225" w:lineRule="exact"/>
        <w:rPr>
          <w:sz w:val="20"/>
          <w:szCs w:val="20"/>
          <w:color w:val="auto"/>
        </w:rPr>
      </w:pPr>
    </w:p>
    <w:p>
      <w:pPr>
        <w:ind w:left="960" w:hanging="331"/>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lower unit quantities with wholesale orders than private label products.</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wholesale is less time intensive and easier to scale than sourcing products via retail arbitrage.</w:t>
      </w:r>
    </w:p>
    <w:p>
      <w:pPr>
        <w:spacing w:after="0" w:line="225"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brands will want to work with us because we can provide broader Amazon presence.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challenges of selling via a wholesale model:</w:t>
      </w:r>
    </w:p>
    <w:p>
      <w:pPr>
        <w:spacing w:after="0" w:line="223" w:lineRule="exact"/>
        <w:rPr>
          <w:sz w:val="20"/>
          <w:szCs w:val="20"/>
          <w:color w:val="auto"/>
        </w:rPr>
      </w:pPr>
    </w:p>
    <w:p>
      <w:pPr>
        <w:ind w:left="960" w:hanging="331"/>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Fierce competition on listing for Buy Box on </w:t>
      </w:r>
      <w:r>
        <w:rPr>
          <w:rFonts w:ascii="Times New Roman" w:cs="Times New Roman" w:eastAsia="Times New Roman" w:hAnsi="Times New Roman"/>
          <w:sz w:val="18"/>
          <w:szCs w:val="18"/>
          <w:i w:val="1"/>
          <w:iCs w:val="1"/>
          <w:color w:val="auto"/>
        </w:rPr>
        <w:t>amazon.com</w:t>
      </w:r>
      <w:r>
        <w:rPr>
          <w:rFonts w:ascii="Times New Roman" w:cs="Times New Roman" w:eastAsia="Times New Roman" w:hAnsi="Times New Roman"/>
          <w:sz w:val="18"/>
          <w:szCs w:val="18"/>
          <w:color w:val="auto"/>
        </w:rPr>
        <w:t xml:space="preserve"> (as described below).</w:t>
      </w:r>
    </w:p>
    <w:p>
      <w:pPr>
        <w:spacing w:after="0" w:line="227" w:lineRule="exact"/>
        <w:rPr>
          <w:rFonts w:ascii="Times New Roman" w:cs="Times New Roman" w:eastAsia="Times New Roman" w:hAnsi="Times New Roman"/>
          <w:sz w:val="18"/>
          <w:szCs w:val="18"/>
          <w:color w:val="auto"/>
        </w:rPr>
      </w:pPr>
    </w:p>
    <w:p>
      <w:pPr>
        <w:ind w:left="960" w:hanging="331"/>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relationships with brand manufacturers.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Description/Opportunities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According to Marketplace Pulse (based on U.S. Census Bureau data), total U.S. retail sales increased 3.5% to approximately $7.68 trillion in 2025, from $7.42 trillion in 2024. Consumers spent $1,233.7 billion online with U.S. merchants in 2025, which represents approximately 16.4% of total U.S. retail sales for the year, compared to 16.07% in 2024.</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Amazon accounted for approximately 40% of all e-commerce in the United States and that makes Amazon the biggest e-commerce giant currently in the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was founded in 2013 by Sam Lai and Maggie Yu. With their vision, leadership, and software development skills, the Company grew rapidly. From 2013 to 2025, sales grew from $0 to $142,440,236.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originally incorporated under the laws of the State of Washington on January 13, 2015. In 2019, we formed Flywheel, a wholly owned subsidiary, to provide business operating consulting services exclusively to Hour Loop. On April 7, 2021, Hour Loop converted from a Washington corporation to a Delaware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Advantage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the approximately 1.9 million active third-party sellers on Amazon, we believe we have two main competitive advantages:</w:t>
      </w:r>
    </w:p>
    <w:p>
      <w:pPr>
        <w:spacing w:after="0" w:line="225" w:lineRule="exact"/>
        <w:rPr>
          <w:sz w:val="20"/>
          <w:szCs w:val="20"/>
          <w:color w:val="auto"/>
        </w:rPr>
      </w:pPr>
    </w:p>
    <w:p>
      <w:pPr>
        <w:ind w:left="960" w:hanging="331"/>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we have strong operations and sales teams experienced in listing, shipment, advertising, reconciliation and sales. By delivering high quality results and enhancing procedures through the process, our teams are competitive.</w:t>
      </w:r>
    </w:p>
    <w:p>
      <w:pPr>
        <w:spacing w:after="0" w:line="161" w:lineRule="exact"/>
        <w:rPr>
          <w:rFonts w:ascii="Times New Roman" w:cs="Times New Roman" w:eastAsia="Times New Roman" w:hAnsi="Times New Roman"/>
          <w:sz w:val="18"/>
          <w:szCs w:val="18"/>
          <w:color w:val="auto"/>
        </w:rPr>
      </w:pPr>
    </w:p>
    <w:p>
      <w:pPr>
        <w:jc w:val="both"/>
        <w:ind w:left="960" w:hanging="331"/>
        <w:spacing w:after="0" w:line="266"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we believe our proprietary software system gives us an advantage over our competition. The system is highly customized to our business model; it collects and processes large amounts of data every day to optimize our operation and sales. Through advanced software, we can identify product gaps and keep them in stock all year round.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With respect to our advertising strategy, we advertise those products that we estimate will have greater demand based on our experience. This lets us allocate our advertising budget in a fashion that delivers positive value. We advertise our products on Amazon. We allocate our advertising dollars prudently. This is accomplished by advertising items that deliver the most return for our advertising spending. We monitor the items being advertised by our competitors. On the operations side, we constantly refine our processes based on learnings from historical data. The combination of managing the business operations effectively along with allocating our advertising budget to high value items allows us to grow profitably. In cases where the advertising is fierce, we allocate the spending appropriately. Our strategy for competing with larger competitors is to monitor their pricing and not compete with them when their pricing is low or at a loss. Competitors sell at low prices or at a loss due to a variety of reasons, including, but not limited to, their desire to liquidate inventory or achieve short-term increase in revenue. During these times, we avoid matching their prices. This strategy allows us to stay profitable.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Position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fiscal years ended December 31, 2025 and 2024, we generated net revenues of $142,440,236 and $138,252,861, respectively, and reported net income of $1,704,849 and $657,447, respectively, and cash flow provided by operating activities of $2,581,256 and $313,140, respectively. As noted in our consolidated financial statements, as of December 31, 2025, we had retained earnings of $1,109,674.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a comparison of our 2025 and 2024 income statements.</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6"/>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6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142,440,236</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138,252,861</w:t>
            </w:r>
          </w:p>
        </w:tc>
      </w:tr>
      <w:tr>
        <w:trPr>
          <w:trHeight w:val="22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goods sold</w:t>
            </w: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(67,806,565)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(66,242,153)</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74,633,671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72,010,708</w:t>
            </w:r>
          </w:p>
        </w:tc>
        <w:tc>
          <w:tcPr>
            <w:tcW w:w="100" w:type="dxa"/>
            <w:vAlign w:val="bottom"/>
          </w:tcPr>
          <w:p>
            <w:pPr>
              <w:spacing w:after="0"/>
              <w:rPr>
                <w:sz w:val="18"/>
                <w:szCs w:val="18"/>
                <w:color w:val="auto"/>
              </w:rPr>
            </w:pPr>
          </w:p>
        </w:tc>
      </w:tr>
      <w:tr>
        <w:trPr>
          <w:trHeight w:val="23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72,172,741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71,279,768</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2,460,930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730,940</w:t>
            </w:r>
          </w:p>
        </w:tc>
        <w:tc>
          <w:tcPr>
            <w:tcW w:w="1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non-operating (expense) income</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(63,345)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228,621</w:t>
            </w:r>
          </w:p>
        </w:tc>
      </w:tr>
      <w:tr>
        <w:trPr>
          <w:trHeight w:val="230"/>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(692,736)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(302,114)</w:t>
            </w:r>
          </w:p>
        </w:tc>
      </w:tr>
      <w:tr>
        <w:trPr>
          <w:trHeight w:val="209"/>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1,704,849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69,267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(25,644)</w:t>
            </w:r>
          </w:p>
        </w:tc>
      </w:tr>
      <w:tr>
        <w:trPr>
          <w:trHeight w:val="210"/>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5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1,774,116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631,803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generated $142,440,236 in revenues in 2025, as compared to $138,252,861 in revenues in the same period in 2024. This represents an increase in revenues of $4,187,375, or 3.03%. We attribute this increase to our continued growth and maturity in our operating model, despite an overall e-commerce traffic slowdown and intense competition. Our total orders in 2025 were approximately 6,588,014, as compared to 6,337,492 orders in 2024, representing an increase of 3.95%. This growth in orders has played a pivotal role in driving the overall revenue growth. The meaningful increase in order quantity indicates a rising demand for our products, leading to a corresponding increase in revenue generated from these sales. As a result, the increase in orders has directly contributed to the overall growth in our revenues during the period. The 3.95% increase in orders reflects strong customer demand, but our pricing strategy, including competitive pricing pressure and discounts offered during the period, resulted in lower prices for products sold. As a consequence, even with the significant order volume increase, the revenue growth was slightly shy of fully matching this proportion.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Cost of goods sold for the year ended December 31, 2025 totaled $67,806,565, as compared to $66,242,153 for the year ended December 31, 2024. Cost of goods sold includes the cost of the merchandise sold and shipping costs, as well as estimated losses due to damage to goods.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Operating expenses for the year ended December 31, 2025 totaled $72,172,741, representing a $892,973, or 1.25%, increase from the $71,279,768 of operating expenses for the year ended December 31, 2024. This change was caused by an increase in operating efficiency.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color w:val="auto"/>
        </w:rPr>
        <w:t>Other (Expenses) Income, Net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(expenses) income, net for the year ended December 31, 2025 was $(63,345), as compared to $228,621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Comprehensive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comprehensive income for the year ended December 31, 2025 was $1,774,116, as compared to $631,803 for the year ended December 31, 2024. The increase in total comprehensive income was attributed to an increase in our gross revenues in 2025, compared to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2025 and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Liquidity is the ability of an enterprise to generate adequate amounts of cash to meet its needs for cash requirements. We had cash of $3,792,033 and $2,119,581 as of December 31, 2025 and 2024, respectively.</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primary uses of cash have been for inventory, payments to Amazon related to sales and shipping of products, for services provided, payments for marketing and advertising and salaries paid to our employees. We have received funds from the sales of products that we sell online. The following trends are reasonably likely to result in changes in our liquidity over the near- to long-term:</w:t>
      </w:r>
    </w:p>
    <w:p>
      <w:pPr>
        <w:spacing w:after="0" w:line="176" w:lineRule="exact"/>
        <w:rPr>
          <w:sz w:val="20"/>
          <w:szCs w:val="20"/>
          <w:color w:val="auto"/>
        </w:rPr>
      </w:pPr>
    </w:p>
    <w:p>
      <w:pPr>
        <w:ind w:left="940" w:hanging="311"/>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working capital requirements to finance the rapid growth in our current business,</w:t>
      </w:r>
    </w:p>
    <w:p>
      <w:pPr>
        <w:spacing w:after="0" w:line="225" w:lineRule="exact"/>
        <w:rPr>
          <w:rFonts w:ascii="Times New Roman" w:cs="Times New Roman" w:eastAsia="Times New Roman" w:hAnsi="Times New Roman"/>
          <w:sz w:val="18"/>
          <w:szCs w:val="18"/>
          <w:color w:val="auto"/>
        </w:rPr>
      </w:pPr>
    </w:p>
    <w:p>
      <w:pPr>
        <w:ind w:left="940" w:hanging="311"/>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fees paid to Amazon and other partners as our sales grows</w:t>
      </w:r>
    </w:p>
    <w:p>
      <w:pPr>
        <w:spacing w:after="0" w:line="225" w:lineRule="exact"/>
        <w:rPr>
          <w:rFonts w:ascii="Times New Roman" w:cs="Times New Roman" w:eastAsia="Times New Roman" w:hAnsi="Times New Roman"/>
          <w:sz w:val="18"/>
          <w:szCs w:val="18"/>
          <w:color w:val="auto"/>
        </w:rPr>
      </w:pPr>
    </w:p>
    <w:p>
      <w:pPr>
        <w:ind w:left="940" w:hanging="311"/>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being a public company;</w:t>
      </w:r>
    </w:p>
    <w:p>
      <w:pPr>
        <w:spacing w:after="0" w:line="225" w:lineRule="exact"/>
        <w:rPr>
          <w:rFonts w:ascii="Times New Roman" w:cs="Times New Roman" w:eastAsia="Times New Roman" w:hAnsi="Times New Roman"/>
          <w:sz w:val="18"/>
          <w:szCs w:val="18"/>
          <w:color w:val="auto"/>
        </w:rPr>
      </w:pPr>
    </w:p>
    <w:p>
      <w:pPr>
        <w:ind w:left="940" w:hanging="311"/>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advertising expenses for attracting new customers; and</w:t>
      </w:r>
    </w:p>
    <w:p>
      <w:pPr>
        <w:spacing w:after="0" w:line="225" w:lineRule="exact"/>
        <w:rPr>
          <w:rFonts w:ascii="Times New Roman" w:cs="Times New Roman" w:eastAsia="Times New Roman" w:hAnsi="Times New Roman"/>
          <w:sz w:val="18"/>
          <w:szCs w:val="18"/>
          <w:color w:val="auto"/>
        </w:rPr>
      </w:pPr>
    </w:p>
    <w:p>
      <w:pPr>
        <w:ind w:left="940" w:hanging="311"/>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 for the development of additional infrastructure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inception, we have generated liquidity from the profitability of our ongoing business and from debt to fund our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Cash Flows</w:t>
            </w:r>
          </w:p>
        </w:tc>
        <w:tc>
          <w:tcPr>
            <w:tcW w:w="2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1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2,581,256</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313,140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1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(75,097)</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(35,996)</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1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(839,000)</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(671,000)</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foreign currency rates</w:t>
            </w:r>
          </w:p>
        </w:tc>
        <w:tc>
          <w:tcPr>
            <w:tcW w:w="31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5,293</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29,284</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68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1,672,452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the period</w:t>
            </w:r>
          </w:p>
        </w:tc>
        <w:tc>
          <w:tcPr>
            <w:tcW w:w="31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2,119,581</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2,484,153</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the period</w:t>
            </w:r>
          </w:p>
        </w:tc>
        <w:tc>
          <w:tcPr>
            <w:tcW w:w="26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3,792,033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68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3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2025, cash provided by operating activities amounted to $2,581,256, as compared to $313,140 for the year ended December 31, 2024. This was driven by our net income of $1,704,849 for the year ended December 31, 2025, as compared to $657,447 for the same period in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Despite the increase in revenue to $142,440,236 for the year ended December 31, 2025, as compared to $138,252,861 for the year ended December 31, 2024, the revenue increase was offset by a corresponding increase in cost of goods sold of $1,564,412 and an increase in operating expenses of $892,973.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2025, $75,097 in cash was used in investing activities, as compared to $35,996 in cash used in investing activities for the fiscal year ended December 31, 2024. The increase primarily reflects higher purchases of property and equipment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2025, cash used in financing activities amounted to $1,339,000, as compared to $671,000 cash used in financing activities for the fiscal year ended December 31, 2024. The increase in cash outflows was primarily due to repayments made to related parties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below, we do not have any long-term capital lease obligations, operating lease obligations or long-term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Taishin International Bank</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18, 2022, Flywheel entered into a line of credit agreement in the amount of $6,940,063 with Taishin International Bank (“Taishin”). As amended, the line of credit matures on May 18, 2026 and bears interest at a rate of 3.42% per annum.</w:t>
      </w:r>
    </w:p>
    <w:p>
      <w:pPr>
        <w:spacing w:after="0" w:line="16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As of December 31, 2025 and 2024, the outstanding balance under the Taishin line of credit was $637,348 and $610,967,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Affiliated Loans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receive loans and advances from our stockholders to fund our operations. As of December 31, 2025, we had a total of $3,810,418 due to related parties, which included $2,660,418 in stockholder payables and $1,150,000 accrued for bonuses. As of December 31, 2024, we had a total of $4,192,995 due to related parties, which included $3,499,418 in stockholder payables and $693,577 accrued for bonuses. While stockholder payables are generally non-interest bearing and payable on demand, we and our stockholders entered into loan agreements for loans with terms over one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July 2021 Loan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27, 2021, the Company, Mr. Lai and Ms. Yu entered into a loan agreement with a principal amount of $4,170,418. The loan is subordinated. As amended, the loan matures on December 31, 2026 and has an annual interest rate of 4.75%.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two operating leases (Flywheel has two offices lease in Taiwan). The respective lease terms are June 10, 2025 to July 9, 2027, and December 1, 2025 to November 30, 2028,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For the Year Ending December 31,</w:t>
            </w:r>
          </w:p>
        </w:tc>
        <w:tc>
          <w:tcPr>
            <w:tcW w:w="420" w:type="dxa"/>
            <w:vAlign w:val="bottom"/>
          </w:tcPr>
          <w:p>
            <w:pPr>
              <w:spacing w:after="0"/>
              <w:rPr>
                <w:sz w:val="20"/>
                <w:szCs w:val="20"/>
                <w:color w:val="auto"/>
              </w:rPr>
            </w:pPr>
          </w:p>
        </w:tc>
        <w:tc>
          <w:tcPr>
            <w:tcW w:w="18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8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94,036</w:t>
            </w:r>
          </w:p>
        </w:tc>
      </w:tr>
      <w:tr>
        <w:trPr>
          <w:trHeight w:val="216"/>
        </w:trPr>
        <w:tc>
          <w:tcPr>
            <w:tcW w:w="8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61,330</w:t>
            </w:r>
          </w:p>
        </w:tc>
      </w:tr>
      <w:tr>
        <w:trPr>
          <w:trHeight w:val="216"/>
        </w:trPr>
        <w:tc>
          <w:tcPr>
            <w:tcW w:w="8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26,890</w:t>
            </w:r>
          </w:p>
        </w:tc>
      </w:tr>
      <w:tr>
        <w:trPr>
          <w:trHeight w:val="230"/>
        </w:trPr>
        <w:tc>
          <w:tcPr>
            <w:tcW w:w="9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2029 and thereafter</w:t>
            </w:r>
          </w:p>
        </w:tc>
        <w:tc>
          <w:tcPr>
            <w:tcW w:w="42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4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(6,623)</w:t>
            </w:r>
          </w:p>
        </w:tc>
      </w:tr>
      <w:tr>
        <w:trPr>
          <w:trHeight w:val="210"/>
        </w:trPr>
        <w:tc>
          <w:tcPr>
            <w:tcW w:w="9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the future minimum lease payment</w:t>
            </w:r>
          </w:p>
        </w:tc>
        <w:tc>
          <w:tcPr>
            <w:tcW w:w="4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operating lease liabilities-current</w:t>
            </w:r>
          </w:p>
        </w:tc>
        <w:tc>
          <w:tcPr>
            <w:tcW w:w="4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(92,362)</w:t>
            </w:r>
          </w:p>
        </w:tc>
      </w:tr>
      <w:tr>
        <w:trPr>
          <w:trHeight w:val="210"/>
        </w:trPr>
        <w:tc>
          <w:tcPr>
            <w:tcW w:w="9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liabilities-non-current</w:t>
            </w: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and related disclosures in conformity with accounting principles generally accepted in the United States of America (“U.S. GAAP”). U.S. GAAP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We consider all highly liquid financial instruments purchased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cash is held in the bank and covered by the Federal Deposit Insurance Corporation (“FDIC”), subject to applicable limits. Deposits are insured up to $250,000 per depositor, per FDIC-insured bank, per ownership category. Cash equivalents and marketable securities are comprised of time deposits, money market funds, highly liquid government bonds, corporate debt securities, mortgage-backed and asset-backed securities, and marketable equity securities. Our cash and cash equivalents primarily consisted of cash and money market funds. Such amounts are recorded at fair value.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stated at historical cost less allowance for doubtful accounts.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 basis, management evaluates its accounts receivable and determines whether to provide an allowance for credit losses in accordance with the Financial Accounting Standards Board’s (“FASB”) Accounting Standards Codification (“ASC”) Topic 326, credit losses based on a past history of write-offs, collections, current credit conditions, current economic conditions, reasonable and supportable forecasts of future economic conditions. The evaluation is performed on a collective basis where similar characteristics exist, primarily based on similar services or products offerings. We adopted the standard effective January 1, 2023. The impact of the adoption was not considered material to the financial statements and primarily resulted in new/enhanced disclosures only. A receivable is considered past due if the Company has not received payments based on agreed-upon terms. The Company generally does not require any security or collateral to support its receivables. The collection is primarily through Amazon and the collection period is usually less than 7 days. We perform on-going evaluations of our customers and maintains an allowance for credit losses as we deem necessary or appropriate. As of December 31, 2025 and 2024, we did not deem it necessary to have an allowance for credit loss.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Inventory and Cost of Goods Sold </w:t>
      </w:r>
      <w:r>
        <w:rPr>
          <w:rFonts w:ascii="Times New Roman" w:cs="Times New Roman" w:eastAsia="Times New Roman" w:hAnsi="Times New Roman"/>
          <w:sz w:val="18"/>
          <w:szCs w:val="18"/>
          <w:color w:val="auto"/>
        </w:rPr>
        <w:t>– Our inventory consists mainly of finished goods. Inventories are stated at the lower of cost or net realizable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is principally determined on a first-in-first-out basis. Our costs include the amounts we pay manufacturers for product, tariffs and duties associated with transporting product across national borders, and freight costs associated with transporting the product from its manufacturers to its warehouses, as applicable. The merchandise with terms of FOB shipping point from vendors was recorded as the inventory-in-transit when inventory left the shipping dock of the vendors but not yet reached our receiving dock. Management continually evaluates its estimates and judgments including those related to merchandise inventory.</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revenues” line item in the unaudited consolidated statements of operations is principally inventory sold to customers during the reporting period.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Policy for inventory allowance: We write down the cost of obsolete and slow-moving inventories to the estimated net realizable value, based on inventory obsolescence trends, historical experience, forecasted consumer demand and application of the specific identification method. As of December 31, 2025 and 2024, $447,841 and $560,293, respectively, were written down from the cost of inventories to our net realizable values. Full inventory allowance is recorded for the inventory SKU not sold for more than one year.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are recorded at cost and depreciated or amortized over the estimated useful life of the asset using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straight-line method. We elected to expense any individual property and equipment items under $2,500.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our property and equipment is computers, and the estimated useful life is three years.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Impairment of Long-lived Assets </w:t>
      </w:r>
      <w:r>
        <w:rPr>
          <w:rFonts w:ascii="Times New Roman" w:cs="Times New Roman" w:eastAsia="Times New Roman" w:hAnsi="Times New Roman"/>
          <w:sz w:val="18"/>
          <w:szCs w:val="18"/>
          <w:color w:val="auto"/>
        </w:rPr>
        <w:t>- In accordance with ASC 360-10-35-17, if the carrying amount of an asset or asset group (in use 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is evaluated and found not to be fully recoverable (the carrying amount exceeds the estimated gross, undiscounted cash flows from use and disposition), then an impairment loss must be recognized. The impairment loss is measured as the excess of the carrying amount over the asset’s (or asset group’s) fair value. We did not record any impairment charges for the years ended December 31, 2025 and 2024.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Leases are classified at lease commencement date as either a finance lease or an operating lease. A lease is a finance lease if it meets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criteria: (a) the lease transfers ownership of the underlying asset to the lessee by the end of the lease term, (b) the lease grants the lessee an option to purchase the underlying asset that the lessee is reasonably certain to exercise, (c) the lease term is for the major part of the remaining economic life of the underlying asset, (d) the present value of the sum of the lease payments and any residual value guaranteed by the lessee that is not already reflected in the lease payments equals or exceeds substantially all of the fair value of the underlying asset or (e) the underlying asset is of such a specialized nature that it is expected to have no alternative use to the lessor at the end of the lease term. When none of the foregoing criteria is met, the lease shall be classified as an operating lease.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typically utilize operating leases for our office space requirements. This means that we lease office space, categorizing the lease arrangement as an operating lease. Under this arrangement, we do not hold ownership of the leased assets but instead pays rent for the right to use them.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a lessee, a lease is recognized as an operating lease right-of-use asset with a corresponding liability at lease commencement date. The lease liability is calculated at the present value of the lease payments not yet paid by using the lease term and discount rate determined at lease commencement. The operating lease right-of-use asset is calculated as the lease liability, increased by any initial direct costs, and prepaid lease payments, reduced by any lease incentives received before lease commencement. The operating lease right-of-use asset itself is amortized on a straight-line basis unless another systematic method better reflects how the underlying asset will be used by and benefits the lessee over the lease term.</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 </w:t>
      </w:r>
      <w:r>
        <w:rPr>
          <w:rFonts w:ascii="Times New Roman" w:cs="Times New Roman" w:eastAsia="Times New Roman" w:hAnsi="Times New Roman"/>
          <w:sz w:val="18"/>
          <w:szCs w:val="18"/>
          <w:color w:val="auto"/>
        </w:rPr>
        <w:t>- Fair value is defined as the exchange price that would be received for an asset or paid to transfer a liability (an exit price)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or most advantageous market for the asset or liability in an orderly transaction between market participants at the measurement date. The carrying amounts reported in the consolidated balance sheets for cash and cash equivalents, accounts receivable, accounts payable, due to related parties and short-term debt at fair value or cost, which approximates fair value because of the short period of time between the origination of such instruments and their expected realization and their current market rates of interest.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unobservable inputs reflecting our own assumptions, consistent with reasonably available assumptions made by other market participants. These valuations require significant judgment.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We account for revenue in accordance with ASC Topic 606, Revenue from Contracts with Customers (“ASC Topic 606”).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ASC Topic 606 as of January 1, 2019. The standard did not affect our consolidated financial position, or cash flows. There were no changes to the timing of revenue recognition as a result of the adoption.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recognize revenue in accordance with ASC Topic 606, which provided a five-step model for recognizing revenue from contracts with customers as follows:</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performance obligations are satisfied.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as principal owns and controls all the goods before they are transferred to the customer. We can, at any time, direct Amazon, similarly, other third-party logistics providers (“Logistics Providers”), to return our inventories to any location specified by the Company. It is our responsibility to make any returns made by customers directly to Logistics Providers and we retain the back-end inventory risk. Further, we are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spacing w:after="0" w:line="255" w:lineRule="auto"/>
        <w:rPr>
          <w:sz w:val="20"/>
          <w:szCs w:val="20"/>
          <w:color w:val="auto"/>
        </w:rPr>
      </w:pPr>
      <w:r>
        <w:rPr>
          <w:rFonts w:ascii="Times New Roman" w:cs="Times New Roman" w:eastAsia="Times New Roman" w:hAnsi="Times New Roman"/>
          <w:sz w:val="18"/>
          <w:szCs w:val="18"/>
          <w:color w:val="auto"/>
        </w:rPr>
        <w:t>We derive our revenue from the sale of consumer products. We sell our products directly to consumers through online retail channels. We consider customer order confirmations to be a contract with the customer. For each contract, the promise to transfer products is identified as the sole performance obligation. Transaction prices are evaluated for potential refunds or adjustments, determining the net consideration expected. Revenues for the years ended December 31, 2025 and 2024 were recognized at a point in time. Customer confirmations are executed at the time an order is placed through third-party online channels. For all of our sales and distribution channels, revenue is recognized when control of the product is transferred to the customer (i.e., when the Company’s performance obligation is satisfied), which typically occurs at shipment date. As a result, we have a present and unconditional right to payment and record the amount due from the customer in accounts receivable.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customer can return the products within 30 days after the products are delivered and estimated sales returns are calculated based on the expected returns. The rates of sales returns were 7.26% and 7.19% of gross sales for the years ended December 31, 2025 and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offer price discounts on certain selected items to stimulate the sales of those items. Revenue is measured as the amount of consideration for which we expect to be entitled in exchange for transferring goods. Consistent with this policy, we reduce the amount of these discounts from the gross revenue to calculate the net revenue recorded on the statement of operations.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performance obligation, defined as the promise to transfer a distinct good, is the unit of account in ASC Topic 606. We treat shipping and handling as fulfillment activities, not separate performance obligations. Costs for shipping and handling were $32,050,121 and $31,480,104 for the years ended December 31, 2025 and 2024, respectively, recorded as selling and marketing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We only have one segment, which is online retail (e-commerce).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the “management approach” in determining reportable operating segments. The management approach considers the internal organization and reporting used by our chief operating decision maker for making operating decisions and assessing performance as the source for determining our reportable segments. Our chief operating decision maker has been identified as the chief executive officer of the Company who reviews financial information of separate operating segments based on U.S. GAAP. The chief operating decision maker now reviews results analyzed by customers. This analysis is only presented at the revenue level with no allocation of direct or indirect costs. Consequently, we have determined that it has only one operating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Income tax expense includes U.S. (federal and state) and foreign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complied with state tax codes and regulations, including with respect to California franchise taxes. Management has evaluated our tax positions and has concluded that we had taken no uncertain tax positions that could require adjustment or disclosure in the financial statements to comply with provisions set forth in ASC Section 740, Income Taxes.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represent amounts available to reduce income taxes payable in future periods. Deferred tax assets are evaluated for future realization and reduced by a valuation allowance to the extent we believe they will not be realized. We consider many factors when assessing the likelihood of future realization of our deferred tax assets, including recent cumulative loss experience and expectations of future earnings, capital gains and investment in such jurisdiction, the carry-forward periods available to us for tax reporting purposes, and other relevant factors.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Risks - </w:t>
      </w:r>
      <w:r>
        <w:rPr>
          <w:rFonts w:ascii="Times New Roman" w:cs="Times New Roman" w:eastAsia="Times New Roman" w:hAnsi="Times New Roman"/>
          <w:sz w:val="18"/>
          <w:szCs w:val="18"/>
          <w:color w:val="auto"/>
        </w:rPr>
        <w:t>Financial instruments that potentially subject us to concentrations of credit risk consist primarily of cash and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and accounts receivable. We maintain cash and cash equivalents with various domestic and foreign financial institutions of high credit quality. We perform periodic evaluations of the relative credit standing of all of the aforementioned institutions.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reserves for potential credit losses on customer accounts when deemed necessary. Significant customers are those which represent more than 10% of our total net revenue or gross accounts receivable balance at the balance sheet date. For the years ended December 31, 2025 and 2024, we had no customer that accounted for 10% or more of total net revenues. In addition, as of December 31, 2025 and 2024, we had no customer that accounted for 10% or more of gross accounts receivable. As of December 31, 2025 and 2024, all of our accounts receivable were held by our sales platform agent, Amazon, which collects money on our behalf from our customers. Therefore, our accounts receivable are comprised of receivables due from Amazon and the reimbursement from Amazon to the Company usually takes less than seven days.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reliant on one key vendor which currently provides us with our sales platform, logistics and fulfillment operations, including certain warehousing for our net goods, and invoicing and collection of its revenue from our end customers. During the years ended December 31, 2025 and 2024, approximately 98% and 99%, respectively, of our revenue was through or with the Amazon sales platform.</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Foreign Currency Exchange Risk </w:t>
      </w:r>
      <w:r>
        <w:rPr>
          <w:rFonts w:ascii="Times New Roman" w:cs="Times New Roman" w:eastAsia="Times New Roman" w:hAnsi="Times New Roman"/>
          <w:sz w:val="18"/>
          <w:szCs w:val="18"/>
          <w:color w:val="auto"/>
        </w:rPr>
        <w:t>- We are exposed to foreign currency exchange risk through our foreign subsidiary in Taiwan. We do not hedge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currency translation risk in the net assets and income reported from these sources.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Advertising and Promotion Expenses </w:t>
      </w:r>
      <w:r>
        <w:rPr>
          <w:rFonts w:ascii="Times New Roman" w:cs="Times New Roman" w:eastAsia="Times New Roman" w:hAnsi="Times New Roman"/>
          <w:sz w:val="18"/>
          <w:szCs w:val="18"/>
          <w:color w:val="auto"/>
        </w:rPr>
        <w:t>– Our policy is to recognize advertising costs as they are incurred. Advertising and promotion expenses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$5,777,969 and $5,323,886 for the years ended December 31, 2025 and 2024, respectively.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 Liabilities for loss contingencies arising from claims, assessments, litigation, fines, penalties, and other sources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when it is probable that a liability has been incurred and the amount can be reasonably estimated. Legal costs incurred in connection with loss contingencies are expensed as incurred.</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Related Parties </w:t>
      </w:r>
      <w:r>
        <w:rPr>
          <w:rFonts w:ascii="Times New Roman" w:cs="Times New Roman" w:eastAsia="Times New Roman" w:hAnsi="Times New Roman"/>
          <w:sz w:val="18"/>
          <w:szCs w:val="18"/>
          <w:color w:val="auto"/>
        </w:rPr>
        <w:t>- We account for related party transactions in accordance with FASB ASC Topic 850 (Related Party Disclosures). A party is considered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related to us if the party directly or indirectly or through one or more intermediaries, controls, is controlled by, or is under common control with the Company. Related parties also include our principal owners, our management, members of the immediate families of our principal owners and our management and other parties with which we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Earnings per Share - </w:t>
      </w:r>
      <w:r>
        <w:rPr>
          <w:rFonts w:ascii="Times New Roman" w:cs="Times New Roman" w:eastAsia="Times New Roman" w:hAnsi="Times New Roman"/>
          <w:sz w:val="18"/>
          <w:szCs w:val="18"/>
          <w:color w:val="auto"/>
        </w:rPr>
        <w:t>We compute basic earnings per common share using the weighted-average number of shares of common stock outstanding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period. For the period in which we report net losses, diluted net loss per share attributable to stockholders is the same as basic net loss per share attributable to stockholders, because potentially dilutive common shares are not assumed to have been issued if their effect is anti-dilutive. There were no dilutive securities or other items that would affect earnings per share for the years ended December 31, 2025 and 2024. Therefore, the diluted earnings per share is the same as the basic earnings per share.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Shares Issued for Services </w:t>
      </w:r>
      <w:r>
        <w:rPr>
          <w:rFonts w:ascii="Times New Roman" w:cs="Times New Roman" w:eastAsia="Times New Roman" w:hAnsi="Times New Roman"/>
          <w:sz w:val="18"/>
          <w:szCs w:val="18"/>
          <w:color w:val="auto"/>
        </w:rPr>
        <w:t>– Stock-based compensation cost for all equity-classified stock awards expected to vest is measured at fair value on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and recognized over the service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Reference is made to pages F-1 through F-18 comprising a portion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filed under the Exchange Act, such as this annual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December 31, 2025, pursuant to Rule 13a-15(b) under the Exchange Act. Based upon that evaluation, our Certifying Officers concluded that, as of December 31, 2025, our disclosure controls and procedures were effective.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under Exchange Act Rules 13a-15(f) and 14d-14(f).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and may not prevent or detect misstatements. Therefore, even those systems determined to be effective can only provide reasonable assurance with respect to financial reporting reliability and financial statement preparation and presentation. In addition, projections of any evaluation of effectiveness to future periods are subject to risk that controls become inadequate because of changes in conditions and that the degree of compliance with the policies or procedures may deteriorate.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December 31, 2025. In making the assessment, management used the criteria issued by the Committee of Sponsoring Organizations of the Treadway Commission (COSO – 2013) in Internal Control-Integrated Framework. Based on its assessment, management concluded that, as of December 31, 2025, our Company’s internal control over financial reporting was adequate in material aspects.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Officers and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and ages of the members of our Board of Directors and our executive officers and the positions held by each. Each director’s term continues until his or her successor is elected or qualified at the next annual meeting, unless such director earlier resigns or is removed.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1"/>
        </w:trPr>
        <w:tc>
          <w:tcPr>
            <w:tcW w:w="33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 Lai</w:t>
            </w:r>
          </w:p>
        </w:tc>
        <w:tc>
          <w:tcPr>
            <w:tcW w:w="24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 Chief Executive Officer and Interim Chief Financial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 Kuen (Maggie) Yu</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Lenner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Minghui (Alan) Gao</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Hilary (Hui-Chong) Bui</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Biographical information concerning our directors and executive officers listed above is set forth below.</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 Lai. </w:t>
      </w:r>
      <w:r>
        <w:rPr>
          <w:rFonts w:ascii="Times New Roman" w:cs="Times New Roman" w:eastAsia="Times New Roman" w:hAnsi="Times New Roman"/>
          <w:sz w:val="18"/>
          <w:szCs w:val="18"/>
          <w:color w:val="auto"/>
        </w:rPr>
        <w:t>Mr. Lai has served as our Chief Executive Officer and been a member of our Board of Directors since June 2013 and our Chairman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since April 2021. He has served as our Interim Chief Financial Officer since March 29, 2022. He is a seasoned software engineer who has designed and built software and code from the ground up at Hour Loop, Inc., Amazon.com, Inc., UnifiedEdge, Inc., Kits, and Applied Research Labs for the past 18 years. From December 2009 through June 2017, Mr. Lai served as a Software Development Engineer for Amazon.com, Inc. From March 2009 through December 2009, he served as a Senior Java Developer at UnifiedEdge, Inc. From February 2007 through March 2009, Mr. Lai served as a Senior Java Developer at Kits. From September 2005 through February 2007, he served as a Software Development Engineer for Amazon.com, Inc. From March 2003 through January 2004, Mr. Lai served as a Research Engineer Scientist Assistant at Applied Research Labs. Mr. Lai graduated with a Bachelor Degree in Computer Science from University of Texas at Austin in 2003 and a Masters Degree in Computer Science from University of California, San Diego in 2004. Mr. Lai does not hold, and has not previously held, any directorships in any other reporting companies.</w:t>
      </w:r>
    </w:p>
    <w:p>
      <w:pPr>
        <w:spacing w:after="0" w:line="18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Sau Kuen (Maggie) Yu. </w:t>
      </w:r>
      <w:r>
        <w:rPr>
          <w:rFonts w:ascii="Times New Roman" w:cs="Times New Roman" w:eastAsia="Times New Roman" w:hAnsi="Times New Roman"/>
          <w:sz w:val="18"/>
          <w:szCs w:val="18"/>
          <w:color w:val="auto"/>
        </w:rPr>
        <w:t>Ms. Yu has served as our Senior Vice President and has been a member of our Board of Directors since June 2013.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graduating from University of California, San Diego until June 2013, Ms. Yu has no employment history. Ms. Yu graduated with a Bachelor Degree in Computer Science from University of California, San Diego in 2004. Ms. Yu does not hold, and has not previously held, any directorships in any other reporting companies.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Lenner. </w:t>
      </w:r>
      <w:r>
        <w:rPr>
          <w:rFonts w:ascii="Times New Roman" w:cs="Times New Roman" w:eastAsia="Times New Roman" w:hAnsi="Times New Roman"/>
          <w:sz w:val="18"/>
          <w:szCs w:val="18"/>
          <w:color w:val="auto"/>
        </w:rPr>
        <w:t>Mr. Lenner has been an independent member of our Board of Directors since June 1, 2021. Since May 2018, Mr. Lenner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Vice President, Software Engineering, Disney Streaming Services at The Walt Disney Company. From August 2017 through May 2018, he served as Vice President, Software Engineering at BAMTECH Media. From July 2014 through August 2017, Mr. Lenner served as Vice President, Software Engineering and Senior Director, Software Engineering at Major League Baseball Advanced Media. From February 2011 through June 2014, he served as the Vice President, Engineering at H. Bloom. Mr. Lenner graduated with a Bachelor of Arts Degree in Physics from Binghamton University and a Masters of Science Degree in Computer Science from Columbia University. Mr. Lenner does not hold, and has not previously held, any directorships in any other reporting companies.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Minghui (Alan) Gao. </w:t>
      </w:r>
      <w:r>
        <w:rPr>
          <w:rFonts w:ascii="Times New Roman" w:cs="Times New Roman" w:eastAsia="Times New Roman" w:hAnsi="Times New Roman"/>
          <w:sz w:val="18"/>
          <w:szCs w:val="18"/>
          <w:color w:val="auto"/>
        </w:rPr>
        <w:t>Mr. Gao has been an independent member of our Board of Directors since October 6, 2021. Since October 2021, Mr. Gao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the Chief Technology Officer of Cue Health, Inc. From January 2018 to October 2021, he served as the Chief Technology Officer of PillPack (which was acquired by Amazon Pharmacy). From October 2016 to January 2018, Mr. Gao served as the Director of Prime Video at Amazon.com. From September 2013 to October 2016, he served as Engineering Director of Seller Services at Amazon.com. From September 2011 to September 2013, Mr. Gao served as the Chief Technology Officer and Senior Vice President of Product and Engineering at Xiu.com, an e-commerce company in China. From November 2008 through June 2011, he served as Engineering Director at Amazon.cn in China. From October 2007 to November 2008, Mr. Gao served as Senior Manager, Software Development at Amazon.com. From November 2006 to October 2007, he served as a Software Development Manager at Amazon.com. From April 2001 to November 2006, Mr. Gao served as Software Design Engineer and Development Lead. Mr. Gao graduated with a Masters Degree in Computer Science from Baylor university in 1999. Mr. Gao does not hold, and has not previously held, any directorships in any other reporting companies.</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Hilary (Hui-Chong) Bui. </w:t>
      </w:r>
      <w:r>
        <w:rPr>
          <w:rFonts w:ascii="Times New Roman" w:cs="Times New Roman" w:eastAsia="Times New Roman" w:hAnsi="Times New Roman"/>
          <w:sz w:val="18"/>
          <w:szCs w:val="18"/>
          <w:color w:val="auto"/>
        </w:rPr>
        <w:t>Ms. Bui has been an independent member of our Board of Directors since February 20, 2023. Since November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Bui has served as the Senior Finance Manager–North America and US Retail FP&amp;A of Starbucks Corporation. She joined Starbucks Corporation in 2015 and has served various positions including Finance Manager and Business Analysis Manager of different divisions before being promoted to the current position. From 2011 to 2015, Ms. Bui served as Senior Finance Analyst and Finance Analyst in different divisions of General Mills, Inc. From 2007 to 2011, Ms. Bui served as Senior Assurance Associate of PricewaterhouseCoopers, LLP. Ms. Bui graduated with a bachelor’s degree of Accounting from the University of Minnesota in 2007. Ms. Bui does not hold, and has not previously held, any directorships in any other reporting companies.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Sam Lai, our Chairman of the Board, Chief Executive Officer and Interim Chief Financial Officer, and Maggie Yu, our Senior Vice President and member of our Board of Directors, are married.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executive officer, member of the board of directors or control person of our Company has been involved in any legal proceeding listed in Item 401(f) of Regulation S-K in the past 10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Director Independence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Nasdaq-listed company, we are required to comply with Nasdaq’s continued listing standards.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Company and Director Independence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“controlled company” exception to the Nasdaq rules provides that a company of which more than 50% of the voting power is held by an individual, group or another company, a “controlled company,” need not comply with certain requirements of the Nasdaq corporate governance rules. As stated above, Sam Lai, the Chairman of the Board, Chief Executive Officer and Interim Chief Financial Officer of the Company, and Maggie Yu, Senior Vice President of the Company and a member of the Board, who are husband and wife, together beneficially own 33,394,442 shares of the Company’s common stock, representing approximately 94.8% of the voting power of the Company’s outstanding common stock. As a result, we are a “controlled company” under the Nasdaq corporate governance standards. As a controlled company, we do not have to comply with certain corporate governance requirements under the Nasdaq rules, including the following:</w:t>
      </w:r>
    </w:p>
    <w:p>
      <w:pPr>
        <w:spacing w:after="0" w:line="189"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to consist of “independent directors” as defined by the applicable Nasdaq rules and regulations;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our executive officers to be determined, or recommended to the Board of Directors for determination, by independent directors constituting a majority of the independent directors of the Board in a vote in which only independent directors participate or by a Compensation Committee comprised solely of independent directors;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director nominees to be selected, or recommended to the Board of Directors for selection, by independent directors constituting a majority of the independent directors of the Board in a vote in which only independent directors participate or by a nomination committee comprised solely of independent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intend to avail itself of each of these exemptions. More specifically, a majority of our Board of Directors will not consist of independent directors and we will not have a compensation committee or a nominating and corporate governance committee. Therefore, for as long as we remain a “controlled company,” we will not have the same protections afforded to stockholders of companies that are subject to all of these corporate governance requirements. If at any time we cease to be a “controlled company” under the Nasdaq rules, our Board of Directors will take all action necessary to comply with the Nasdaq corporate governance rules, including establishing certain committees composed entirely of independent directors, subject to a permitted “phase-in” period.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our status as a controlled company, we will remain subject to the Nasdaq corporate governance standard that requires us to have an audit committee with at least three independent directors as well as composed entirely of independent directors. As a result, we were required, at the time of listing on Nasdaq, to have at least one independent director on our audit committee, at least two independent directors within 90 days of listing on Nasdaq, and at least three independent directors within one year of listing on Nasdaq, where at least one of the independent directors qualifies as an audit committee financial expert under SEC rules and as a financially sophisticated audit committee member under the Nasdaq rules.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affirmatively determined that two of our five directors (Sam Lai and Maggie Yu) are non-independent directors and three of our five directors (Michael Lenner, Minghui (Alan) Gao, and Hilary (Hui-Chong) Bui) are independent directors. Our audit committee consists of the three independent directors: Mr. Lenner, Mr. Gao, and Ms. Bui. Ms. Bui is the chair of the audit committee and qualifies as an audit committee financial expert under SEC rules and as a financially sophisticated audit committee member under the Nasdaq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Board’s Role in Risk Oversight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not separated the positions of Chairman of the Board and Chief Executive Officer. Mr. Lai has served as our Chairman of the Board of Directors since April 2021 and Chief Executive Officer since June 2013. We believe that combining the positions of Chairman and Chief Executive Officer allows for focused leadership of our organization which benefits us in our relationships with investors, customers, suppliers, employees and other constituencies. We believe that consolidating our leadership under Mr. Lai is the appropriate leadership structure for our Company and that any risks inherent in that structure are balanced by the oversight of the independent directors on our Board. However, no single leadership model is right for all companies and at all times. The Board recognizes that depending on the circumstances, other leadership models, such as the appointment of a lead independent director, might be appropriate. Accordingly, the Board may periodically review its leadership structure. In addition, the Board holds executive sessions in which only independent directors are present.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is generally responsible for the oversight of corporate risk in its review and deliberations relating to our activities. Our principal source of risk falls into two categories, financial and product commercialization. The audit committee oversees management of financial risks; our Board regularly reviews information regarding our cash position, liquidity and operations, as well as the risks associated with each. The Board regularly reviews plans, results and potential risks related to our business. The Board is also expected to oversee risk management as it relates to our compensation plans, policies and practices for all employees including executives and directors, particularly whether our compensation programs may create incentives for our employees to take excessive or inappropriate risks which could have a material adverse effect on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have established an audit committee which consists of three independent directors: Mr. Lenner, Mr. Gao, and Ms. Bui. Ms. Bui is the chair of the audit committee. and qualifies as an “audit committee financial expert.” Our audit committee adopted a written charter, a copy of which is posted on the Corporate Governance section of our website, at </w:t>
      </w:r>
      <w:r>
        <w:rPr>
          <w:rFonts w:ascii="Times New Roman" w:cs="Times New Roman" w:eastAsia="Times New Roman" w:hAnsi="Times New Roman"/>
          <w:sz w:val="18"/>
          <w:szCs w:val="18"/>
          <w:i w:val="1"/>
          <w:iCs w:val="1"/>
          <w:color w:val="auto"/>
        </w:rPr>
        <w:t>https://ir.hourloop.com/corporate-governance/documents-charters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audit committee is authorized to:</w:t>
      </w:r>
    </w:p>
    <w:p>
      <w:pPr>
        <w:spacing w:after="0" w:line="225"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and retain the independent auditors to conduct the annual audit of our financial statements;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proposed scope and results of the audit;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pre-approve audit and non-audit fees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accounting and financial controls with the independent auditors and our financial and accounting staff;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transactions between us and our directors, officers and affiliates;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and prevent prohibited non-audit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complaints received by us regarding accounting matters;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internal audit functions, if 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we are a “controlled company” within the meaning of the Nasdaq corporate governance standards, we are not required to have, and do not currently have, a compensation committee.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when we are no longer a “controlled company” within the meaning of the Nasdaq corporate governance standards, we will be required to establish a compensation committee. We anticipate that such a compensation committee would consist of three directors who will be “independent” under the rules of the SEC, subject to the permitted “phase-in” period pursuant to Nasdaq rules.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compensation committee would:</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determine the compensation arrangements for management;</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review general compensation policies with the objective to attract and retain superior talent, to reward individual performance and to achieve our financial goals;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our incentive compensation and benefit plans and purchase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of Directors and management;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independence of any compensation advisers.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formation of a compensation committee, we would expect to adopt a compensation committee charter defining the committee’s primary duties in a manner consistent with the rules of the SEC and Nasdaq standards.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Because are a “controlled company” within the meaning of the Nasdaq corporate governance standards, we are not required to have, and do not currently have, a nominating and corporate governance committee.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and when we are no longer a “controlled company” within the meaning of the corporate governance standards of Nasdaq, we will be required to establish a nominating and corporate governance committee. We anticipate that such a nominating and corporate governance committee would consist of three directors who will be “independent” under the rules of the SEC, subject to the permitted “phase-in” period pursuant to Nasdaq rules.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among other things, would include:</w:t>
      </w:r>
    </w:p>
    <w:p>
      <w:pPr>
        <w:spacing w:after="0" w:line="225"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 and recommending director;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nominees and board members for committee membership;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corporate governance guidelines;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determine the compensation arrangements for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its committees and management.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formation of a nominating and corporate governance committee, we would expect to adopt a nominating and corporate governance committee charter defining the committee’s primary duties in a manner consistent with the rules of the SEC and Nasdaq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full Board of Directors recommends candidates for nomination for election at the annual meeting of the stockholders. 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are a “controlled company” within the meaning of Nasdaq corporate governance standards, we are not required to have, and do not currently have, a compensation committee. None of our executive officers serves on the board of directors or compensation committee of a company that has an executive officer that serves on our board or compensation committee. No member of our board is an executive officer of a company in which one of our executive officers serves as a member of the board of directors or compensation committee of that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have adopted a Code of Ethics and Business Conduct that applies to all of its directors, officers (including our principal executive officer, principal financial officer, principal accounting officer or controller, and any person performing similar functions) and employees. The Code of Ethics and Business Conduct is available on our website at </w:t>
      </w:r>
      <w:r>
        <w:rPr>
          <w:rFonts w:ascii="Times New Roman" w:cs="Times New Roman" w:eastAsia="Times New Roman" w:hAnsi="Times New Roman"/>
          <w:sz w:val="18"/>
          <w:szCs w:val="18"/>
          <w:i w:val="1"/>
          <w:iCs w:val="1"/>
          <w:color w:val="auto"/>
        </w:rPr>
        <w:t>https://ir.hourloop.com/corporate-governance/documents-charters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our officers and directors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except to the extent such exemption from liability or limitation thereof is not permitted by the Delaware General Corporation Law (“DGCL”).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also permits us to maintain insurance on behalf of any officer, director or employee for any liability arising out of his or her actions, regardless of whether Delaware law would permit such indemnification.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We believe that these provisions and the insurance are necessary to attract and retain talented and experienced officers and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compensation table provides information regarding the compensation earned during our fiscal years ended December 31, 2025 and 2024 to certain of our executive officers, who we collectively refer to as our “named executive officers”, or “NEOs”.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qualified</w:t>
            </w: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5"/>
              </w:rPr>
              <w:t>All</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3"/>
              </w:rPr>
              <w:t>Awards</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1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Year</w:t>
            </w:r>
          </w:p>
        </w:tc>
        <w:tc>
          <w:tcPr>
            <w:tcW w:w="2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0"/>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 Lai</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500,000</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600,000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18,218(1)</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$ 1,118,218</w:t>
            </w:r>
          </w:p>
        </w:tc>
        <w:tc>
          <w:tcPr>
            <w:tcW w:w="100" w:type="dxa"/>
            <w:vAlign w:val="bottom"/>
            <w:shd w:val="clear" w:color="auto" w:fill="CCEEFF"/>
          </w:tcPr>
          <w:p>
            <w:pPr>
              <w:spacing w:after="0"/>
              <w:rPr>
                <w:sz w:val="18"/>
                <w:szCs w:val="18"/>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Chief Executive Officer</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Interim Chief</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500,000</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600,000</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15,546(2)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1,115,546</w:t>
            </w:r>
          </w:p>
        </w:tc>
      </w:tr>
      <w:tr>
        <w:trPr>
          <w:trHeight w:val="216"/>
        </w:trPr>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Maggie Yu</w:t>
            </w: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450,000</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550,000</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19,774(3)</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1,019,774</w:t>
            </w: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w:t>
            </w: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450,000</w:t>
            </w:r>
          </w:p>
        </w:tc>
        <w:tc>
          <w:tcPr>
            <w:tcW w:w="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550,000</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16,991(4)</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1,016,991</w:t>
            </w:r>
          </w:p>
        </w:tc>
      </w:tr>
    </w:tbl>
    <w:p>
      <w:pPr>
        <w:spacing w:after="0" w:line="198"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healthcare benefits and 401(k) contribution of $10,174 and $8,044, respectively, for the fiscal year ended December 31,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healthcare benefits and 401(k) contribution of $8,827 and $6,719, respectively, for the fiscal year ended December 31, 2024.</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healthcare benefits and 401(k) contribution of $11,730 and $8,044, respectively, for the fiscal year ended December 31, 2025.</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healthcare benefits and 401(k) contribution of $10,332 and $6,659, respectively, for the fiscal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27, 2021, we entered into an Executive Employment Agreement with each of Mr. Lai and Ms. Yu. Mr. Lai’s agreement, as amended, provides that he will serve as the Chief Executive Officer of the Company and Ms. Yu’s agreement, as amended, provides that she will serve as the Senior Vice President of the Company.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of the employment agreements, as amended, has a three-year term, which automatically extends for additional terms of one year each unless either the Company or the applicable executive provides notice to the other party of their desire to not so renew term. Each of the employment agreements, as amended, is “at will,” meaning that either the executive or the Company may terminate the executive’s employment at any time and for any reason, subject to certain payments and other actions as set forth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4" w:name="page55"/>
    <w:bookmarkEnd w:id="54"/>
    <w:p>
      <w:pPr>
        <w:ind w:firstLine="648"/>
        <w:spacing w:after="0" w:line="282" w:lineRule="auto"/>
        <w:rPr>
          <w:sz w:val="20"/>
          <w:szCs w:val="20"/>
          <w:color w:val="auto"/>
        </w:rPr>
      </w:pPr>
      <w:r>
        <w:rPr>
          <w:rFonts w:ascii="Times New Roman" w:cs="Times New Roman" w:eastAsia="Times New Roman" w:hAnsi="Times New Roman"/>
          <w:sz w:val="18"/>
          <w:szCs w:val="18"/>
          <w:color w:val="auto"/>
        </w:rPr>
        <w:t>Mr. Lai’s agreement provided for an initial annual base salary of $500,000, and Ms. Yu’s agreement provided for an initial annual base salary of $450,000. Each of the base salaries may be subject to annual adjustments as determined in the discretion of the Board.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26, 2024, we entered into Addendum No. 3 (the “Lai Addendum No. 3”) to Executive Employment Agreement, as amended,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Lai. Pursuant to the terms of the Lai Addendum No. 3, Mr. Lai’s bonus targets and payments were set as follows:</w:t>
      </w:r>
    </w:p>
    <w:p>
      <w:pPr>
        <w:spacing w:after="0" w:line="207" w:lineRule="exact"/>
        <w:rPr>
          <w:sz w:val="20"/>
          <w:szCs w:val="20"/>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achieves breakeven (net profits (excluding taxes) is at least $0) during the 2024 fiscal year, Mr. Lai will receive a bonus equal to 50% of base salary.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to at least $500,000 during the 2024 fiscal year, Mr. Lai will receive a bonus equal to 100% of base salary.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pursuant to the terms of the Lai Addendum No. 3, Mr. Lai was entitled to receive a guaranteed bonus of $100,000 on December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Also on February 26, 2024, we entered into Addendum No. 3 (the “Yu Addendum No. 3”) to Executive Employment Agreement, as amended, with Ms. Yu. Pursuant to the terms of the Yu Addendum No. 3, Ms. Yu’s bonus targets and payments were set as follows:</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acquires at least 100 new vendors during the 2024 fiscal year, Ms. Yu will receive a bonus equal to 50% of base salary.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acquires at least 135 new vendors during the 2024 fiscal year, Ms. Yu will receive a bonus equal to 100% of base salary.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pursuant to the terms of the Yu Addendum No. 3, Ms. Yu was entitled to receive a guaranteed bonus of $100,000 on December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14, 2025, we entered into Addendum No. 4 (the “Lai Addendum No. 4”) to Executive Employment Agreement, as amended, with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 Pursuant to the terms of the Lai Addendum No. 4, Mr. Lai’s bonus targets and payments were set as follows:</w:t>
      </w:r>
    </w:p>
    <w:p>
      <w:pPr>
        <w:spacing w:after="0" w:line="207" w:lineRule="exact"/>
        <w:rPr>
          <w:sz w:val="20"/>
          <w:szCs w:val="20"/>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$500,000 during the 2025 fiscal year, Mr. Lai will receive a bonus equal to 50% of base salary.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$1,000,000 during the 2025 fiscal year, Mr. Lai will receive a bonus equal to 100% of base salary.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pursuant to the terms of the Lai Addendum No. 4, Mr. Lai was entitled to receive a guaranteed bonus of $100,000 on December 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Also on March 14, 2025, we entered into Addendum No. 4 (the “Yu Addendum No. 4”) to Executive Employment Agreement, as amended,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Yu. Pursuant to the terms of the Yu Addendum No. 4, Ms. Yu’s bonus targets and payments were set as follows:</w:t>
      </w:r>
    </w:p>
    <w:p>
      <w:pPr>
        <w:spacing w:after="0" w:line="20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acquires at least 100 new vendors during the 2025 fiscal year, Ms. Yu will receive a bonus equal to 50% of base salary.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acquires at least 135 new vendors during the 2025 fiscal year, Ms. Yu will receive a bonus equal to 100% of base salary.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pursuant to the terms of the Yu Addendum No. 4, Ms. Yu was entitled to receive a guaranteed bonus of $100,000 on December 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5, 2025, we entered into Addendum No. 5 (the “Lai Addendum No. 5”) to Executive Employment Agreement, as amended, with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Lai. Pursuant to the terms of the Lai Addendum No. 5, Mr. Lai’s bonus targets and payments were revised from Addendum No. 4, as follows:</w:t>
      </w:r>
    </w:p>
    <w:p>
      <w:pPr>
        <w:spacing w:after="0" w:line="207" w:lineRule="exact"/>
        <w:rPr>
          <w:sz w:val="20"/>
          <w:szCs w:val="20"/>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$1,000,000 during the 2025 fiscal year, Mr. Lai will receive a bonus equal to 50% of base salary.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$2,000,000 during the 2025 fiscal year, Mr. Lai will receive a bonus equal to 100% of base salary.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pursuant to the terms of the Lai Addendum No. 5, Mr. Lai was entitled to receive a guaranteed bonus of $100,000 on December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Also on August 5, 2025, we entered into Addendum No. 5 (the “Yu Addendum No. 5”) to Executive Employment Agreement, as amended,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Yu. Pursuant to the terms of the Yu Addendum No. 5, Ms. Yu’s bonus targets and payments were revised from Addendum No. 4, as follows:</w:t>
      </w:r>
    </w:p>
    <w:p>
      <w:pPr>
        <w:spacing w:after="0" w:line="207"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$1,000,000 during the 2025 fiscal year, Mr. Lai will receive a bonus equal to 50% of base salary.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$2,000,000 during the 2025 fiscal year, Mr. Lai will receive a bonus equal to 100% of base salary.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In addition, pursuant to the terms of the Yu Addendum No. 5, Ms. Yu was entitled to receive a guaranteed bonus of $100,000 on December 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24, 2026, we entered into Addendum No. 6 (the “Lai Addendum No. 6”) to Executive Employment Agreement, as amended,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Lai. Pursuant to the terms of the Lai Addendum No. 6, Mr. Lai’s bonus targets and payments were revised from Addendum No. 5, as follows:</w:t>
      </w:r>
    </w:p>
    <w:p>
      <w:pPr>
        <w:spacing w:after="0" w:line="207" w:lineRule="exact"/>
        <w:rPr>
          <w:sz w:val="20"/>
          <w:szCs w:val="20"/>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$750,000 during the 2026 fiscal year, Mr. Lai will receive a bonus equal to 50% of base salary.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grows its net profits (excluding taxes and executives’ bonuses) to at least $1,500,000 during the 2026 fiscal year, Mr. Lai will receive a bonus equal to 100% of base salary.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pursuant to the terms of the Lai Addendum No. 6, Mr. Lai is entitled to receive a guaranteed bonus of $100,000 on December 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Also on February 24, 2026, we entered into Addendum No. 6 (the “Yu Addendum No. 6”) to Executive Employment Agreement, as amended, with Ms. Yu. Pursuant to the terms of the Yu Addendum No. 6, Ms. Yu’s bonus targets and payments were revised from Addendum No. 5, as follows:</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acquires at least 100 new vendors during the 2026 fiscal year, Ms. Yu will receive a bonus equal to 50% of base salary.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acquires at least 135 new vendors during the 2026 fiscal year, Ms. Yu will receive a bonus equal to 100% of her base salary.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addition, pursuant to the terms of the Yu Addendum No. 6, Ms. Yu is entitled to receive a guaranteed bonus of $100,000 on December 22, 2026.</w:t>
      </w:r>
    </w:p>
    <w:p>
      <w:pPr>
        <w:spacing w:after="0" w:line="23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Mr. Lai’s and Ms. Yu’s agreements, as amended, provides that if at the Company’s request the executive attends any trade shows, events, or meetings which are independent of the executive’s responsibility under the applicable agreement, the Company will pay the executive $1,000 in cash per full day for such attendance or $500 in cash for a half day.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of Mr. Lai’s and Ms. Yu’s agreements, as amended, provides that at the end of each calendar quarter during the term, we will issue to the applicable executive a number of shares of common stock having a fair market value of $3,000 as of such date (with any partial quarter being pro-rated). The market value of the shares is determined as follows: (a) if the common stock is then listed for trading on the OTC Markets or a United States national securities exchange (as applicable, the “Trading Market”), the daily volume weighted average closing price of the common stock during the 20 trading day period immediately prior to the calculation date, (b) if the common stock is not then listed or quoted for trading on a Trading Market, and if prices for the common stock are then reported in the “Pink Sheets” published by OTC Markets Group, Inc., the most recent bid price per share of the common stock so reported, or (c) in all other cases, the fair market value of a share of common stock as is determined in good faith by the Board, without the involvement of the executive if the executive is then serving on the Board, after taking into consideration factors it deems appropriate. A “Trading Day” is any day on which the Trading Market is generally open for business and on which the common stock is then traded.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Lai’s and Ms. Yu’s agreements, as amended, each provides that they will be entitled to fringe benefits consistent with the practices of the Company, and to the extent we provide similar benefits to our executive officers; that we will reimburse each of them for all reasonable and necessary out-of-pocket business, entertainment and travel expenses incurred in connection with the performance of their duties; that they are entitled to a number of vacation days as generally provided to other executive officers from time to time; and that they are each, together with their spouses and legal dependents, entitled to participate equally in the health, dental and other benefit plans, which are available to our senior managers.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Mr. Lai’s and Ms. Yu’s agreements, as amended, provide for different results and payments on termination, based on whether the applicable agreement was terminated by the Company with or without “Cause”, or by the applicable executive with or without “Good Reason”.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their agreements, “Cause” means any of the following:</w:t>
      </w:r>
    </w:p>
    <w:p>
      <w:pPr>
        <w:spacing w:after="0" w:line="225" w:lineRule="exact"/>
        <w:rPr>
          <w:sz w:val="20"/>
          <w:szCs w:val="20"/>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any material written rule or policy of the Company for which violation any employee may be terminated pursuant to the written policies of the Company reasonably applicable to an executive employee;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misconduct by the executive to the material detriment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conviction (by a court of competent jurisdiction, not subject to further appeal) of, or pleading guilty to, a felony;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gross negligence in the performance of their duties and responsibilities to the Company as described in the applicable agreement; or</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failure to perform their duties and responsibilities to the Company as described in the agreement (other than any such failure resulting from the their incapacity due to physical or mental illness or any such failure subsequent to the executive being delivered a notice of termination without Cause by the Company or delivering a notice of termination for Good Reason to the Company), in either case after written notice from the Board (in the case of Mr. Lai) or from the Chief Executive Officer (in the case of Ms. Yu), which specifies the nature of such material failure and the executive’s failure to cure such material failure within 10 days following receipt of such notice.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For purposes of their agreements, “Good Reason” means any of the following:</w:t>
      </w:r>
    </w:p>
    <w:p>
      <w:pPr>
        <w:spacing w:after="0" w:line="225" w:lineRule="exact"/>
        <w:rPr>
          <w:sz w:val="20"/>
          <w:szCs w:val="20"/>
          <w:color w:val="auto"/>
        </w:rPr>
      </w:pPr>
    </w:p>
    <w:p>
      <w:pPr>
        <w:ind w:left="980" w:hanging="324"/>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by the Company of compensation and benefits (taken as a whole) provided to the executive;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base salary or target or maximum bonus, other than as part of an across-the-board reduction in salaries of management personnel;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relocation of the executive’s principal executive office to a location more than 50 miles further from the executive’s principal executive office immediately prior to such relocation; or</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of any of the terms and conditions of the applicable employment agreement which the Company fails to correct within 10 days after the Company receives written notice from the executive of such violation.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we terminate the applicable agreement for “Cause”, or the applicable executive terminates their agreement without “Good Reason”, then we will pay to the applicable executive any unpaid base salary and benefits then owed or accrued, and any unreimbursed expenses, will issue to the applicable executive the shares as described above (i.e., the $3,000 of value of shares per calendar quarter) which have accrued as of such date; and any unvested portion of any equity granted to the applicable executive will be forfeited.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we terminate the applicable agreement without “Cause”, or the applicable executive terminates their agreement for “Good Reason”, in addition to the payments and issuances above, we will pay to the applicable executive, in one lump sum, an amount equal to the base salary that they would have been paid for the remainder of the initial three-year term (if such termination occurs during that initial term) or the one year renewal term (if such termination occurs during a renewal term), as applicable, and any equity grant already made to the executive shall, to the extent not already vested, be deemed automatically vested.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their agreements, as amended, in the event of Mr. Lai’s or Ms. Yu’s death or total disability, the applicable agreement will terminate on the date of death or total disability and we will pay to the applicable executive (or their estate) any unpaid base salary and benefits then owed or accrued and any unreimbursed expenses for which we have agreed to reimburse the applicable executive, plus a pro-rata bonus for the year of termination based on the executive’s target bonus for such year and the portion of such year in which the executive was employed through the date of such termination; and any unvested portion of any equity granted to the applicable executive will be forfeited as of the termination date.</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it is determined that any payment or benefit provided to either Mr. Lai or Ms. Yu under their respective agreements, as amended, would constitute an “excess parachute payment” within the meaning of section 280G of the Code, such that the payment would be subject to an excise tax (the “Excise Tax”) under Section 4999 of the Internal Revenue Code of 1986, as amended (the “Code”), we will pay to the applicable executive an additional amount (the “Gross-Up Payment”) such that the net amount of the Gross-Up Payment retained by the applicable executive after the payment of any Excise Tax and any federal, state and local income and employment tax on the Gross-Up Payment, will be equal to the Excise Tax due on the payment and any interest and penalties in respect of such Excise Tax. For purposes of determining the amount of the Gross-Up Payment, the applicable executive will be deemed to pay federal income tax and employment taxes at the highest marginal rate of federal income and employment taxation in the calendar year in which the Gross-Up Payment is to be made and state and local income taxes at the highest marginal rate of taxation in the state and locality of the applicable executive’s residence (or, if greater, the state and locality in which the applicable executive is required to file a nonresident income tax return with respect to the payment) in the calendar year in which the Gross-Up Payment is to be made, net of the maximum reduction in federal income taxes that may be obtained from the deduction of such state and local taxes.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the uncertainty in the application of sections 4999 and 280G of the Code, it is possible that the Gross-Up Payments either will have been made which should not have been made, or will not have been made which should have been made, by the Company (an “Excess Gross-Up Payment” or a “Gross-Up Underpayment,” respectively). If it is established pursuant to (A) a final determination of a court for which all appeals have been taken and finally resolved or the time for all appeals has expired, or (B) an Internal Revenue Service (the “IRS”) proceeding which has been finally and conclusively resolved, that an Excess Gross-Up Payment has been made, such Excess Gross-Up Payment shall be deemed for all purposes to be a loan to the executive made on the date the executive received the Excess Gross-Up Payment and the executive shall repay the Excess Gross-Up Payment to the Company either</w:t>
      </w:r>
    </w:p>
    <w:p>
      <w:pPr>
        <w:spacing w:after="0" w:line="5" w:lineRule="exact"/>
        <w:rPr>
          <w:sz w:val="20"/>
          <w:szCs w:val="20"/>
          <w:color w:val="auto"/>
        </w:rPr>
      </w:pPr>
    </w:p>
    <w:p>
      <w:pPr>
        <w:jc w:val="both"/>
        <w:ind w:firstLine="8"/>
        <w:spacing w:after="0" w:line="251" w:lineRule="auto"/>
        <w:tabs>
          <w:tab w:leader="none" w:pos="2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demand, if the executive is in possession of the Excess Gross-Up Payment or (ii) upon the refund of such Excess Gross-Up Payment to the executive from the IRS, if the IRS is in possession of such Excess Gross-Up Payment, together with interest on the Excess Gross-Up Payment at (X) 120% of the applicable federal rate (as defined in Section 1274(d) of the Code) compounded semi-annually for any period during which the executive held such Excess Gross-Up Payment and (Y) the interest rate paid to the executive by the IRS in respect of any period during which the IRS held such Excess Gross-Up Payment. If a Gross-Up Underpayment occurs as determined under one or more of the following circumstances: (I) such determination is made by the Company (which shall include the position taken by the Company, together with its consolidated group, on its federal income tax return) or is made by the IRS, (II) such determination is made by a court, or (III) such determination is made upon the resolution to the executive’s satisfaction of the Dispute, then the Company shall pay an amount equal to the Gross-Up Underpayment to the executive within ten calendar days of such determination or resolution, together with interest on such amount at 120% of the applicable federal rate compounded semi-annually from the date such amount should have been paid to the executive pursuant to the terms of his or her employment agreement or otherwise, but for the operation of Section 4(c) of the employment agreements, until the date of payment.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two employment agreements, as amended, also contains a non-solicitation provision, wherein the executive agrees that, during the term of their agreement and for three years thereafter, the executive will not, directly or indirectly solicit or discuss with any of our employees, the employment of such Company employee by any other commercial enterprise other than Company, nor recruit, attempt to recruit, hire or attempt to hire any such Company employee on behalf of any commercial enterprise other than Company, provided that this provision will not prohibit the applicable executive from undertaking a general recruitment advertisement provided that it is not targeted towards any person identified above, or from hiring, employing or engaging any such person who responds to that general recruitment advertisement.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of the two employment agreements, as amended, also provides that, during the term, the applicable executive will be entitled to indemnification and insurance coverage for officers’ liability, fiduciary liability and other liabilities arising out of the executive’s position with the Company in any capacity, in an amount not less than the highest amount available to any other executive, and that such coverage and protections, with respect to the various liabilities as to which the executive has been customarily indemnified prior to termination of employment, will continue for at least six years following the end of the applicable term.</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two employment agreements, as amended, contains customary representations and warranties by the parties, a provision for resolution of disputes by arbitration, customary confidentiality provisions, customary provisions relating to our ownership of intellectual property created by the applicable executive, and other customary miscellaneous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Agreements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 2021; October 6, 2021; and February 20, 2023 we entered into Director Agreements with Mr. Lenner, Mr. Gao, and Ms. Bui, respectively, in connection with their services as directors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their respective agreements, each of Messrs. Lenner and Gao and Ms. Bui agreed to serve as a director of the Company and to be available to perform the duties consistent with such position pursuant to the Certificate and Bylaws of the Company, and any additional codes, guidelines or policies of the Company that may be effective now or in the future. Each of the agreements continues in effect until the earliest of (a) such time as the applicable director resigns or is removed from office and (b) the death of the director.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agreement provides that, during the term of the applicable agreement, in exchange for their services, the Company shall issue to the applicable director a number of shares of common stock having a fair market value of $3,000 as of such date (with any partial quarter being pro-rated). The market value of the shares is determined in the same manner as for the executive’s employment agreements as discussed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directors’ agreements provides that if at the Company’s request the director attends any trade shows, events, or meetings which are independent of the director’s responsibility under the applicable agreement, the Company will pay the director $1,000 in cash per full day for such attendance or $500 in cash for a half day.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director agreements provide that, during the applicable term, the Company will reimburse the applicable director for all reasonable out-of-pocket expenses incurred by them in attending any in-person meetings, provided that the director complies with the generally applicable policies, practices and procedures of the Company for submission of expense reports, receipts or similar documentation of such expenses. Any reimbursements for allocated expenses (as compared to out-of-pocket expenses of the director in excess of $500) must be approved in advance by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the director agreements contains customary confidentiality provisions, customary provisions relating to the Company’s ownership of intellectual property created by the applicable director, customary representations and warranties by the parties and other customary miscellaneous provisions.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Lai and Ms. Yu were provided with the following primary elements of compensation in 2025 and 2024:</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Base Salary. </w:t>
      </w:r>
      <w:r>
        <w:rPr>
          <w:rFonts w:ascii="Times New Roman" w:cs="Times New Roman" w:eastAsia="Times New Roman" w:hAnsi="Times New Roman"/>
          <w:sz w:val="18"/>
          <w:szCs w:val="18"/>
          <w:color w:val="auto"/>
        </w:rPr>
        <w:t>Mr. Lai and Ms. Yu received a fixed base salary in an amount determined by the Board of Directors based on a number of factors,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w:t>
      </w:r>
    </w:p>
    <w:p>
      <w:pPr>
        <w:spacing w:after="0" w:line="159" w:lineRule="exact"/>
        <w:rPr>
          <w:sz w:val="20"/>
          <w:szCs w:val="20"/>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responsibilities and duties of the officer’s position;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expertise, demonstrated leadership ability and prior performance;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officer’s salary history and total compensation, including annual cash bonuses and long-term incentive compensation;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the market for the officer’s services.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base salary for each of Mr. Lai and Ms. Yu for 2025 and 2024 is listed in “—2025 Summary Compensation Table.”</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Bonuses. </w:t>
      </w:r>
      <w:r>
        <w:rPr>
          <w:rFonts w:ascii="Times New Roman" w:cs="Times New Roman" w:eastAsia="Times New Roman" w:hAnsi="Times New Roman"/>
          <w:sz w:val="18"/>
          <w:szCs w:val="18"/>
          <w:color w:val="auto"/>
        </w:rPr>
        <w:t>For the year ended December 31, 2025, we paid Mr. Lai and Ms. Yu a bonus of $600,000 and $550,000, respectively.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2024, the Company paid Mr. Lai and Ms. Yu a bonus of $600,000 and $550,000, respectively.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bonuses for 2025 and 2024 were determined based on peer comparable compensation paid in the Seattle, Washington area reported by </w:t>
      </w:r>
      <w:r>
        <w:rPr>
          <w:rFonts w:ascii="Times New Roman" w:cs="Times New Roman" w:eastAsia="Times New Roman" w:hAnsi="Times New Roman"/>
          <w:sz w:val="18"/>
          <w:szCs w:val="18"/>
          <w:i w:val="1"/>
          <w:iCs w:val="1"/>
          <w:color w:val="auto"/>
        </w:rPr>
        <w:t xml:space="preserve">www.salary.com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https://www.salary.com/tools/salary-calculator/ceo/seattle-wa?view=table&amp;type=bonus</w:t>
      </w:r>
      <w:r>
        <w:rPr>
          <w:rFonts w:ascii="Times New Roman" w:cs="Times New Roman" w:eastAsia="Times New Roman" w:hAnsi="Times New Roman"/>
          <w:sz w:val="18"/>
          <w:szCs w:val="18"/>
          <w:color w:val="auto"/>
        </w:rPr>
        <w:t>). According to</w:t>
      </w:r>
      <w:r>
        <w:rPr>
          <w:rFonts w:ascii="Times New Roman" w:cs="Times New Roman" w:eastAsia="Times New Roman" w:hAnsi="Times New Roman"/>
          <w:sz w:val="18"/>
          <w:szCs w:val="18"/>
          <w:i w:val="1"/>
          <w:iCs w:val="1"/>
          <w:color w:val="auto"/>
        </w:rPr>
        <w:t xml:space="preserve"> www.salary.com</w:t>
      </w:r>
      <w:r>
        <w:rPr>
          <w:rFonts w:ascii="Times New Roman" w:cs="Times New Roman" w:eastAsia="Times New Roman" w:hAnsi="Times New Roman"/>
          <w:sz w:val="18"/>
          <w:szCs w:val="18"/>
          <w:color w:val="auto"/>
        </w:rPr>
        <w:t>, the CEO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bonus range in Seattle was $712,296 to $3,436,010 as updated on February 1, 2026. The $1,100,000 and $1,100,000 compensation (base salary and bonus) paid to Mr. Lai for 2025 and 2024, respectively, fell within such range and we believed such compensation to be reasonable due to the revenue growth in the Company in 2025 and 2024, respectively, due in large part to Mr. Lai’s leadership.</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According to </w:t>
      </w:r>
      <w:r>
        <w:rPr>
          <w:rFonts w:ascii="Times New Roman" w:cs="Times New Roman" w:eastAsia="Times New Roman" w:hAnsi="Times New Roman"/>
          <w:sz w:val="18"/>
          <w:szCs w:val="18"/>
          <w:i w:val="1"/>
          <w:iCs w:val="1"/>
          <w:color w:val="auto"/>
        </w:rPr>
        <w:t>www.salary.com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https://www.salary.com/tools/salary-calculator/coo/seattle-wa?view=table&amp;type=bonus</w:t>
      </w:r>
      <w:r>
        <w:rPr>
          <w:rFonts w:ascii="Times New Roman" w:cs="Times New Roman" w:eastAsia="Times New Roman" w:hAnsi="Times New Roman"/>
          <w:sz w:val="18"/>
          <w:szCs w:val="18"/>
          <w:color w:val="auto"/>
        </w:rPr>
        <w:t>), the salary and bonus range for Chief Operating Officer in Seattle was $418,929 and $1,609,384, as updated February 1, 2026. The $1,000,000 and $1,000,000 compensation (base salary and bonus) paid to Ms. Yu for 2025 and 2024, respectively, fell within such range and we believed to be reasonable due to Ms. Yu being instrumental in delivering revenue growth and high growth of new vendors to the Company in 2025 and 2024, respectively.</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Awards. </w:t>
      </w:r>
      <w:r>
        <w:rPr>
          <w:rFonts w:ascii="Times New Roman" w:cs="Times New Roman" w:eastAsia="Times New Roman" w:hAnsi="Times New Roman"/>
          <w:sz w:val="18"/>
          <w:szCs w:val="18"/>
          <w:color w:val="auto"/>
        </w:rPr>
        <w:t>On January 2, 2024, we issued 2,139 shares of common stock to each of Sam Lai, Maggie Yu, Michael Lenner, Douglas Branch,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Alan Gao and Hillary Bui, with a fair market value of $1.4025 per share as compensation for the services as executives or directors of the Company pursuant to the terms of their respective Executive Employment Agreements or Director Agreements.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March 29, 2024, we issued 2,251 shares of common stock to each of Sam Lai, Maggie Yu, Michael Lenner, Douglas Branch, Alan Gao and Hillary Bui, with a fair market value of $1.3330 per share as compensation for the services as executives or directors of the Company pursuant to the terms of their respective Executive Employment Agreements or Director Agreements.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1, 2024, we issued 2,946 shares of common stock to each of Sam Lai, Maggie Yu, Michael Lenner, Douglas Branch, Alan Gao and Hillary Bui with a fair market value of $1.0185 per share as compensation for the services as executives or directors of the Company pursuant to the terms of their respective Executive Employment Agreements or Director Agreements. Subsequently, on July 22, 2024, Mr. Branch resigned his position as a member of our Board of Directors.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25, 2024, following Mr. Branch’s resignation, we issued 6,000 shares of restricted common stock to Mr. Branch as compensation for services rendered.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 2024, we issued 2,196 shares of common stock to each of Sam Lai, Maggie Yu, Michael Lenner, Alan Gao and Hillary Bui, with a fair market value of $1.3660 per share as compensation for the services as executives or directors of the Company pursuant to the terms of their respective Executive Employment Agreements or Director Agreements.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 2025, the Company issued 1,596 shares of Company common stock to each of Sam Lai, Maggie Yu, Michael Lenner, Alan Gao and Hillary Bui, with a fair market value of $1.8799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 2025, the Company issued 1,750 shares of Company common stock to each of Sam Lai, Maggie Yu, Michael Lenner, Alan Gao and Hillary Bui, with a fair market value of $1.7140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 2025, the Company issued 2,275 shares of Company common stock to each of Sam Lai, Maggie Yu, Michael Lenner, Alan Gao and Hillary Bui, with a fair market value of $1.3185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3, 2025, the Company issued 951 shares of Company common stock to each of Sam Lai, Maggie Yu, Michael Lenner, Alan Gao and Hillary Bui, with a fair market value of $3.1530 per share as compensation for the services as executives or directors of the Company pursuant to the terms of their respective Executive Employment Agreements or Director Agreements with the Company.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Other Benefits. </w:t>
      </w:r>
      <w:r>
        <w:rPr>
          <w:rFonts w:ascii="Times New Roman" w:cs="Times New Roman" w:eastAsia="Times New Roman" w:hAnsi="Times New Roman"/>
          <w:sz w:val="17"/>
          <w:szCs w:val="17"/>
          <w:color w:val="auto"/>
        </w:rPr>
        <w:t>In fiscal years 2025 and 2024, Mr. Lai and Ms. Yu were reimbursed for healthcare expenses. The amounts paid to Mr. Lai and Ms.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 in 2025 and 2024 in respect of these benefits is reflected above in the “All Other Compensation” column of the Summary Compensation Table.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and stockholders holding a majority of the Company’s voting capital approved and adopted the 2021 Plan on June 27, 2021. The 2021 Plan is administered by the Board or one or more committees appointed by the Board or another committee (“Administrator”). The Administrator, in its discretion, selects the individuals to whom awards may be granted, the time or times at which such awards are granted, and the terms of such awards. The 2021 Plan authorizes us to grant stock options, stock appreciation rights, restricted shares, restricted share unit, cash awards, other awards, and performance-based awards. Awards may be granted to our officers, employees, directors and consultants.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purpose of the 2021 Plan is to promote the success of the Company and to increase stockholder value by providing an additional means through the grant of awards to attract, motivate, retain and reward selected employees and other eligible persons. The Board may, at any time, terminate or, from time to time, amend, modify or suspend the 2021 Plan, in whole or in part. To the extent then required by applicable law or any applicable stock exchange or required under the Code to preserve the intended tax consequences of the 2021 Plan, or deemed necessary or advisable by the Board, the 2021 Plan and any amendment to the 2021 Plan shall be subject to stockholder approval. Unless earlier terminated by the Board, the 2021 Plan will terminate 10 years from the date of adoption.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total of 4,995,000 shares of the Company’s common stock were originally authorized for issuance pursuant to the 2021 Plan. Pursuant to the terms of the 2021 Plan and subject to adjustment as provided in the 2021 Plan, the maximum aggregate number of shares that may be issued under the 2021 Plan were cumulatively increased on January 1, 2022 and will be cumulatively increased on each subsequent January 1, by a number of shares equal to the smaller of (i) 3% of the number of shares of common stock issued and outstanding on the immediately preceding December 31, or (ii) an amount determined by the Board. As of March 24, 2026, there were 9,152,213 shares available for issuance under the 2021 Plan.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if any award issued pursuant to the 2021 Plan expires or becomes unexercisable without having been exercised in full, is surrendered pursuant to an exchange program, as provided in the 2021 Plan, or, with respect to restricted stock, RSUs, performance units or performance shares, is forfeited to or repurchased by the Company due to the failure to vest, the unpurchased shares (or for awards other than stock options or stock appreciation rights the forfeited or repurchased shares) which were subject thereto will become available for future grant or sale under the 2021 Plan (unless the 2021 Plan has terminated). With respect to stock appreciation rights, only shares actually issued pursuant to a stock appreciation right will cease to be available under the 2021 Plan; all remaining shares under stock appreciation rights will remain available for future grant or sale under the 2021 Plan (unless the 2021 Plan has terminated). Shares that have actually been issued under the 2021 Plan under any award will not be returned to the 2021 Plan and will not become available for future distribution under the 2021 Plan; provided, however, that if shares issued pursuant to awards of restricted stock, RSUs, performance shares or performance units are repurchased by the Company or are forfeited to the Company due to the failure to vest, such shares will become available for future grant under the 2021 Plan. Shares used to pay the exercise price of an award or to satisfy the tax withholdings related to an award will become available for future grant or sale under the 2021 Plan. To the extent an award under the 2021 Plan is paid out in cash rather than shares, such cash payment will not result in reducing the number of shares available for issuance under the 2021 Plan.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and, subject to adjustment as provided in the 2021 Plan, the maximum number of shares that may be issued upon the exercise of incentive stock options will equal the aggregate share number stated above, plus, to the extent allowable under Section 422 of the Code and regulations promulgated thereunder, any shares that become available for issuance under the 2021 Plan in accordance with the foregoing.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Plan Administration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Board or one or more committees appointed by the Board will administer the 2021 Plan. In addition, if we determine it is desirable to qualify transactions under the 2021 Plan as exempt under Rule 16b-3 of the Exchange Act such transactions will be structured with the intent that they satisfy the requirements for exemption under Rule 16b-3. Subject to the provisions of the 2021 Plan, the Administrator has the power to administer the 2021 Plan and make all determinations deemed necessary or advisable for administering the 2021 Plan, including the power to determine the fair market value of the Company’s common stock, select the service providers to whom awards may be granted, determine the number of shares covered by each award, approve forms of award agreements for use under the 2021 Plan, determine the terms and conditions of awards (including the exercise price, the time or times at which the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and modify or amend each award, including the discretionary authority to extend the post-termination exercisability period of awards (provided that no option or stock appreciation right will be extended past its original maximum term),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or different terms, awards of a different type or cash, or by which the exercise price of an outstanding award is increased or reduced. The Administrator’s decisions, interpretations and other actions are final and binding on all participants.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Awards under the 2021 Plan, other than incentive stock options, may be granted to employees (including officers) of the Company or a subsidiary, members of our Board, or consultants engaged to render bona fide services to the Company or a subsidiary. Incentive stock options may be granted only to employees of the Company or a subsidiary.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Stock options may be granted under the 2021 Plan. The exercise price of options granted under the 2021 Plan generally must at least be equal to the fair market value of our common stock on the date of grant. The term of each option will be as stated in the applicable award agreement; provided, however, that the term may be no more than 10 years from the date of grant.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they may exercise their option for the period of time stated in their option agreement. In the absence of a specified time in an award agreement, if termination is due to death or disability, the option will remain exercisable for 12 months. In all other cases, in the absence of a specified time in an award agreement, the option will remain exercisable for three months following the termination of service. An option may not be exercised later than the expiration of its term. Subject to the provisions of the 2021 Plan, the Administrator determines the other terms of options.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Stock appreciation rights may be granted under the 2021 Plan. Stock appreciation rights allow the recipient to receive the appreciation in the fair market value of the Company’s common stock between the exercise date and the date of grant. Stock appreciation rights may not have a term exceeding 10 years. After the termination of service of an employee, director or consultant, they may exercise their stock appreciation right for the period of time stated in their stock appreciation right agreement. In the absence of a specified time in an award agreement, if termination is due to death or disability, the stock appreciation rights will remain exercisable for 12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the 2021 Plan, the Administrator determines the other terms of stock appreciation rights, including when such rights become exercisable and whether to pay any increased appreciation in cash or with shares of the Company’s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Restricted stock may be granted under the 2021 Plan. Restricted stock awards are grants of shares of the Company’s common stock that vest in accordance with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the Company);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RSUs may be granted under the 2021 Plan. RSUs are bookkeeping entries representing an amount equal to the fair market value of one share of the Company’s common stock. Subject to the provisions of the 2021 Plan, the administrator determines the terms and conditions of RSUs, including the vesting criteria and the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RSUs in the form of cash, in shares of the Company’s common stock or in some combination thereof. Notwithstanding the foregoing, the administrator, in its sole discretion, may accelerate the time at which any vesting requirements will be deemed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 and Performance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Performance units and performance shares may be granted under the 2021 Plan. Performance units and performance shares are awards that will result in a payment to a participant only if performance goals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criteria or other vesting provisions for such performance units or performance shares. Performance units shall have an initial dollar value established by the administrator on or prior to the grant date. Performance shares shall have an initial value equal to the fair market value of the Company’s common stock on the grant date. The Administrator, in its sole discretion, may pay earned performance units or performance shares in the form of cash, in shares or in some combination thereof.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2021 Plan provides that all non-employee directors will be eligible to receive all types of awards (except for incentive stock options) under the 2021 Plan. The 2021 Plan includes a maximum limit of $750,000 of equity awards that may be granted to a non-employee director in any fiscal year, increased to $1,500,000 in connection with his or her initial service. For purposes of this limitation, the value of equity awards is based on the grant date fair value (determined in accordance with accounting principles generally accepted in the United States). Any equity awards granted to a person for their services as an employee, or for their services as a consultant (other than as a non-employee director), will not count for purposes of the limitation. The maximum limit does not reflect the intended size of any potential compensation or equity awards to our non-employee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Non-transferability of Awards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the 2021 Plan generally does not allow for the transfer of awards and only the recipient of an award may exercise an award during their lifetime. If the Administrator makes an award transferable, such award will contain such additional terms and conditions as the Administrator deems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of certain changes in our capitalization, to prevent diminution or enlargement of the benefits or potential benefits available under the 2021 Plan, the Administrator will adjust the number and class of shares that may be delivered under the 2021 Plan or the number, and price of shares covered by each outstanding award and the numerical share limits set forth in the 2021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or Liquidation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event of the Company’s proposed liquidation or dissolution, the administrator will notify participants as soon as practicable and all awards will terminate immediately prior to the consummation of such proposed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or Change in Control</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2021 Plan provides that in the event of the Company’s merger with or into another corporation or entity or a “change in control” (as defined in the 2021 Plan), each outstanding award will 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 In the event that awards (or portion thereof) are not assumed or substituted for in the event of a merger or change in control,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in all cases, unless specifically provided otherwise under the applicable award agreement or other written agreement between the participant and the Company or any of the Company’s subsidiaries or parents, as applicable.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vested option or stock appreciation right will terminate upon the expiration of such period.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awards granted to an outside director, the outside director will fully vest in and have the right to exercise all of their outstanding options and stock appreciation rights, all restrictions on restricted stock and RSUs will lapse and, for awards with performance-based vesting, unless specifically provided for in the award agreement, all performance goals or other vesting criteria will be deemed achieved at 100% of target levels and all other terms and conditions met.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Clawback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Awards will be subject to any Company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laws. The Administrator also may specify in an award agreement that the participant’s rights, payments or benefits with respect to an award will be subject to reduction, cancellation, forfeiture or recoupment upon the occurrence of certain specified events. The Board may require a participant to forfeit, return or reimburse the Company all or a portion of the award or shares issued under the award, any amounts paid under the award and any payments or proceeds paid or provided upon disposition of the shares issued under the award in order to comply with such clawback policy or applicable laws.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and Termination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Administrator has the authority to amend, suspend or terminate the 2021 Plan provided such action does not impair the existing rights of any participant. The 2021 Plan automatically will terminate on June 27, 2031, unless it is terminated sooner.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Board of Directors determines the compensation given to our executive officers in its sole determination. Our Board of Directors reserves the right to pay our executives or any future executives a salary, and/or issue them shares of common stock issued in consideration for services rendered and/or to award incentive bonuses which are linked to our performance, as well as to the individual executive officer’s performance. This package may also include long-term stock-based compensation to certain executives, which is intended to align the performance of our executives with our long-term business strategies. Additionally, while our Board of Directors has not granted any performance base stock options to date, the Board of Directors reserves the right to grant such options in the future, if the Board in its sole determination believes such grants would be in the best interests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Bonus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may grant incentive bonuses to our executive officers and/or future executive officers in its sole discretion, if the Board of Directors believes such bonuses are in the Company’s best interest, after analyzing our current business objectives and growth, if any, and the amount of revenue we are able to generate each month, which revenue is a direct result of the actions and ability of such executives.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Stock-Based Compensation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order to attract, retain and motivate executive talent necessary to support the Company’s long-term business strategy, we may award our executives and any future executives with long-term, stock-based compensation in the future, at the sole discretion of our Board of Directors.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common stock as of March 24, 2026 by:</w:t>
      </w:r>
    </w:p>
    <w:p>
      <w:pPr>
        <w:spacing w:after="0" w:line="225" w:lineRule="exact"/>
        <w:rPr>
          <w:sz w:val="20"/>
          <w:szCs w:val="20"/>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our outstanding shares of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that beneficially owns shares of our common stock;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table below, percentage ownership is based on 35,183,890 shares of our common stock issued and outstanding as of March 24, 2026. Unless otherwise noted below, the address for each beneficial owner listed on the table is c/o Hour Loop, Inc., 8201 164th Ave NE #200, Redmond, Washington 98052-7615. We have determined beneficial ownership in accordance with the rules of the SEC. We believe, based on the information furnished to us, that the persons and entities named in the tables below have sole voting and investment power with respect to all shares of common stock that they beneficially own, subject to applicable community property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business address of each of the beneficial owners listed below is c/o Hour Loop, Inc., 8201 164th Ave. NE #200, Redmond, Washington 98052-7615.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Number and</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Shares Beneficially</w:t>
            </w:r>
          </w:p>
        </w:tc>
        <w:tc>
          <w:tcPr>
            <w:tcW w:w="20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Outstanding Common</w:t>
            </w:r>
          </w:p>
        </w:tc>
      </w:tr>
      <w:tr>
        <w:trPr>
          <w:trHeight w:val="238"/>
        </w:trPr>
        <w:tc>
          <w:tcPr>
            <w:tcW w:w="664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22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(1)</w:t>
            </w:r>
          </w:p>
        </w:tc>
        <w:tc>
          <w:tcPr>
            <w:tcW w:w="44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Borders>
              <w:bottom w:val="single" w:sz="8" w:color="CCEEFF"/>
            </w:tcBorders>
          </w:tcPr>
          <w:p>
            <w:pPr>
              <w:spacing w:after="0"/>
              <w:rPr>
                <w:sz w:val="20"/>
                <w:szCs w:val="20"/>
                <w:color w:val="auto"/>
              </w:rPr>
            </w:pPr>
          </w:p>
        </w:tc>
      </w:tr>
      <w:tr>
        <w:trPr>
          <w:trHeight w:val="20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 Lai</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33,394,442(2)</w:t>
            </w:r>
          </w:p>
        </w:tc>
        <w:tc>
          <w:tcPr>
            <w:tcW w:w="4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94.8%</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Maggie Yu</w:t>
            </w:r>
          </w:p>
        </w:tc>
        <w:tc>
          <w:tcPr>
            <w:tcW w:w="2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33,394,442(2)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w:t>
            </w: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Lenner</w:t>
            </w:r>
          </w:p>
        </w:tc>
        <w:tc>
          <w:tcPr>
            <w:tcW w:w="2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28,449</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Minghui (Alan) Gao</w:t>
            </w:r>
          </w:p>
        </w:tc>
        <w:tc>
          <w:tcPr>
            <w:tcW w:w="2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27,408</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Hillary (Hui-Chong) Bui</w:t>
            </w:r>
          </w:p>
        </w:tc>
        <w:tc>
          <w:tcPr>
            <w:tcW w:w="2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21,924</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(5 persons)</w:t>
            </w:r>
          </w:p>
        </w:tc>
        <w:tc>
          <w:tcPr>
            <w:tcW w:w="2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33,472,223(3)</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r>
    </w:tbl>
    <w:p>
      <w:pPr>
        <w:spacing w:after="0" w:line="179"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in the table have been calculated based on 35,183,890 shares of our common stock outstanding on March 24, 2026. To calculate a stockholder’s percentage of beneficial ownership, we include in the numerator and denominator the common stock outstanding and all shares of our common stock issuable to that person in the event of the exercise of outstanding options and other derivative securities owned by that person which are exercisable within 60 days of March 24, 2026. Common stock options and derivative securities held by other stockholders are disregarded in this calculation. Therefore, the denominator used in calculating beneficial ownership among our stockholders may differ. Unless we have indicated otherwise, each person named in the table has sole voting power and sole investment power for the shares listed opposite such person’s name.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 Lai and Maggie Yu are husband and wife, and together beneficially own 33,394,442 shares of the Company’s common stock representing 94.8% of the voting power of the Company’s outstanding common stock. Each of Mr. Lai and Ms. Yu individually holds (i) 16,697,221 shares of common stock, and (ii) the right to acquire 18,750 shares of common stock within 60 days of March 24, 2026 upon exercise of an option (75% of which is vested). Therefore, each of Mr. Lai and Ms. Yu beneficially holds 33,394,442 shares of the Company’s common stock, as each of them is deemed to indirectly beneficially own the other’s 16,697,221 shares of common stock, and the other’s right to acquire 18,750 shares of common stock upon exercise of an option.</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37,500 shares of common stock that may be acquired within 60 days of March 24, 2026 upon exercise of vested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regarding our compensation plans under which equity securities are authorized for issuance:</w:t>
      </w:r>
    </w:p>
    <w:p>
      <w:pPr>
        <w:sectPr>
          <w:pgSz w:w="11900" w:h="16838" w:orient="portrait"/>
          <w:cols w:equalWidth="0" w:num="1">
            <w:col w:w="11240"/>
          </w:cols>
          <w:pgMar w:left="320" w:top="68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829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2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Equity compensation plans approved by security holders Equity compensation plans not approved by security holders</w:t>
      </w:r>
    </w:p>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 issued upon</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plans (excluding</w:t>
            </w:r>
          </w:p>
        </w:tc>
      </w:tr>
      <w:tr>
        <w:trPr>
          <w:trHeight w:val="216"/>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securities reflected</w:t>
            </w:r>
          </w:p>
        </w:tc>
      </w:tr>
      <w:tr>
        <w:trPr>
          <w:trHeight w:val="238"/>
        </w:trPr>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 column (a))</w:t>
            </w:r>
          </w:p>
        </w:tc>
      </w:tr>
      <w:tr>
        <w:trPr>
          <w:trHeight w:val="191"/>
        </w:trPr>
        <w:tc>
          <w:tcPr>
            <w:tcW w:w="1700" w:type="dxa"/>
            <w:vAlign w:val="bottom"/>
            <w:tcBorders>
              <w:top w:val="single" w:sz="8" w:color="auto"/>
            </w:tcBorders>
          </w:tcPr>
          <w:p>
            <w:pPr>
              <w:ind w:left="820"/>
              <w:spacing w:after="0" w:line="191" w:lineRule="exact"/>
              <w:rPr>
                <w:sz w:val="20"/>
                <w:szCs w:val="20"/>
                <w:color w:val="auto"/>
              </w:rPr>
            </w:pPr>
            <w:r>
              <w:rPr>
                <w:rFonts w:ascii="Times New Roman" w:cs="Times New Roman" w:eastAsia="Times New Roman" w:hAnsi="Times New Roman"/>
                <w:sz w:val="18"/>
                <w:szCs w:val="18"/>
                <w:b w:val="1"/>
                <w:bCs w:val="1"/>
                <w:color w:val="auto"/>
              </w:rPr>
              <w:t>(a)</w:t>
            </w:r>
          </w:p>
        </w:tc>
        <w:tc>
          <w:tcPr>
            <w:tcW w:w="360" w:type="dxa"/>
            <w:vAlign w:val="bottom"/>
          </w:tcPr>
          <w:p>
            <w:pPr>
              <w:spacing w:after="0"/>
              <w:rPr>
                <w:sz w:val="16"/>
                <w:szCs w:val="16"/>
                <w:color w:val="auto"/>
              </w:rPr>
            </w:pPr>
          </w:p>
        </w:tc>
        <w:tc>
          <w:tcPr>
            <w:tcW w:w="1600" w:type="dxa"/>
            <w:vAlign w:val="bottom"/>
            <w:tcBorders>
              <w:top w:val="single" w:sz="8" w:color="auto"/>
            </w:tcBorders>
          </w:tcPr>
          <w:p>
            <w:pPr>
              <w:jc w:val="right"/>
              <w:ind w:right="510"/>
              <w:spacing w:after="0" w:line="191" w:lineRule="exact"/>
              <w:rPr>
                <w:sz w:val="20"/>
                <w:szCs w:val="20"/>
                <w:color w:val="auto"/>
              </w:rPr>
            </w:pPr>
            <w:r>
              <w:rPr>
                <w:rFonts w:ascii="Times New Roman" w:cs="Times New Roman" w:eastAsia="Times New Roman" w:hAnsi="Times New Roman"/>
                <w:sz w:val="18"/>
                <w:szCs w:val="18"/>
                <w:b w:val="1"/>
                <w:bCs w:val="1"/>
                <w:color w:val="auto"/>
              </w:rPr>
              <w:t>(b)</w:t>
            </w:r>
          </w:p>
        </w:tc>
        <w:tc>
          <w:tcPr>
            <w:tcW w:w="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tcBorders>
              <w:top w:val="single" w:sz="8" w:color="auto"/>
            </w:tcBorders>
          </w:tcPr>
          <w:p>
            <w:pPr>
              <w:jc w:val="right"/>
              <w:ind w:right="610"/>
              <w:spacing w:after="0" w:line="191" w:lineRule="exact"/>
              <w:rPr>
                <w:sz w:val="20"/>
                <w:szCs w:val="20"/>
                <w:color w:val="auto"/>
              </w:rPr>
            </w:pPr>
            <w:r>
              <w:rPr>
                <w:rFonts w:ascii="Times New Roman" w:cs="Times New Roman" w:eastAsia="Times New Roman" w:hAnsi="Times New Roman"/>
                <w:sz w:val="18"/>
                <w:szCs w:val="18"/>
                <w:b w:val="1"/>
                <w:bCs w:val="1"/>
                <w:color w:val="auto"/>
              </w:rPr>
              <w:t>(c)</w:t>
            </w:r>
          </w:p>
        </w:tc>
        <w:tc>
          <w:tcPr>
            <w:tcW w:w="20" w:type="dxa"/>
            <w:vAlign w:val="bottom"/>
          </w:tcPr>
          <w:p>
            <w:pPr>
              <w:spacing w:after="0"/>
              <w:rPr>
                <w:sz w:val="16"/>
                <w:szCs w:val="16"/>
                <w:color w:val="auto"/>
              </w:rPr>
            </w:pPr>
          </w:p>
        </w:tc>
      </w:tr>
      <w:tr>
        <w:trPr>
          <w:trHeight w:val="230"/>
        </w:trPr>
        <w:tc>
          <w:tcPr>
            <w:tcW w:w="20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6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spacing w:after="0"/>
              <w:rPr>
                <w:sz w:val="20"/>
                <w:szCs w:val="20"/>
                <w:color w:val="auto"/>
              </w:rPr>
            </w:pPr>
          </w:p>
        </w:tc>
        <w:tc>
          <w:tcPr>
            <w:tcW w:w="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9,152,213</w:t>
            </w:r>
          </w:p>
        </w:tc>
      </w:tr>
      <w:tr>
        <w:trPr>
          <w:trHeight w:val="223"/>
        </w:trPr>
        <w:tc>
          <w:tcPr>
            <w:tcW w:w="1700" w:type="dxa"/>
            <w:vAlign w:val="bottom"/>
            <w:tcBorders>
              <w:top w:val="single" w:sz="8" w:color="auto"/>
              <w:bottom w:val="single" w:sz="8" w:color="auto"/>
            </w:tcBorders>
          </w:tcPr>
          <w:p>
            <w:pPr>
              <w:ind w:left="164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9,152,213</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-462280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-179070</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680" w:space="720"/>
            <w:col w:w="5840"/>
          </w:cols>
          <w:pgMar w:left="320" w:top="688" w:right="339" w:bottom="1440" w:gutter="0" w:footer="0" w:header="0"/>
          <w:type w:val="continuous"/>
        </w:sect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27, 2021, our Board of Directors and stockholders holding a majority of our outstanding shares of common stock approved the 2021 Plan. Under the 2021 Plan, a total of 4,995,000 shares of common stock were initially authorized for issuance pursuant to the grant of stock options, stock appreciation rights, restricted stock, RSUs, performance units, performance shares or other cash- or stock-based awards to officers, directors, employees and eligible consultants to the Company or its subsidiaries. Pursuant to the terms of the 2021 Plan and subject to adjustment as provided in the 2021 Plan, the maximum aggregate number of shares that may be issued under the 2021 Plan will be cumulatively increased on January 1, 2022 and on each subsequent January 1, by a number of shares equal to the smaller of (i) 3% of the number of shares of common stock issued and outstanding on the immediately preceding December 31, or (ii) an amount determined by our Board of Directors. As of March 24, 2026, 9,152,213 shares are available for issuance under the 2021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Item 404 of SEC Regulation S-K, a related person transaction is any actual or proposed transaction, arrangement or relationship or series of similar transactions, arrangements or relationships, including those involving indebtedness not in the ordinary course of business, to which we or our subsidiaries were or are a party, or in which we or our subsidiaries were or are a participant, in which the amount involved exceeded or exceeds the lesser of $120,000 or 1% of the average of our total assets at year-end for the last two completed fiscal years and in which any of our directors, nominees for director, executive officers, beneficial owners of more than 5% of any class of our voting securities (a “significant stockholder”), or any member of the immediate family of any of the foregoing persons, had or will have a direct or indirect material interest.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recognize that transactions between us and any of our directors or executives or with a third party in which one of our officers, directors or significant stockholders has an interest can present potential or actual conflicts of interest and create the appearance that our decisions are based on considerations other than the best interests of our Company and stockholders.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of the Board of Directors is charged with responsibility for reviewing, approving and overseeing any transaction between the Company and any related person (as defined in Item 404 of Regulation S-K), including the propriety and ethical implications of any such transactions, as reported or disclosed to the Audit Committee by the independent auditors, employees, officers, members of the Board of Directors or otherwise, and to determine whether the terms of the transaction are not less favorable to us than could be obtained from an unaffiliated party.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engage in transactions with related parties. The following is a summary of the related party transactions during the fiscal years ended December 31, 2025 and 2024, and any proposed transactions, requiring disclosure pursuant to Item 404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Affiliated Loans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we receive loans and advances from our stockholders to fund our operations. As of December 31, 2025, we had a total of $3,810,418 due to related parties, which included $2,660,418 in stockholder payables and $1,150,000 accrued for bonuses. As of December 31, 2024, we had a total of $4,192,995 due to related parties, which included $3,499,418 in stockholder payables and $693,577 accrued for bonuses. While stockholder payables are generally non-interest bearing and payable on demand, we and our stockholders entered into loan agreements for loans with terms over one year.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July 27, 2021, the Company, Mr. Lai and Ms. Yu entered into a loan agreement with a principal amount of $4,170,418. The loan is subordinated. As amended, the loan matures on December 31, 2026 and has an annual interest rate of 4.75%.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Issuances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 2025, the Company issued 1,596 shares of Company common stock to each of Sam Lai, Maggie Yu, Michael Lenner, Alan Gao and Hillary Bui, with a fair market value of $1.8799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1, 2025, the Company issued 1,750 shares of Company common stock to each of Sam Lai, Maggie Yu, Michael Lenner, Alan Gao and Hillary Bui, with a fair market value of $1.7140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2, 2025, the Company issued 2,275 shares of Company common stock to each of Sam Lai, Maggie Yu, Michael Lenner, Alan Gao and Hillary Bui, with a fair market value of $1.3185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3, 2025, the Company issued 951 shares of Company common stock to each of Sam Lai, Maggie Yu, Michael Lenner, Alan Gao and Hillary Bui, with a fair market value of $3.1530 per share as compensation for the services as executives or directors of the Company pursuant to the terms of their respective Executive Employment Agreements or Director Agreements with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Nasdaq-listed company, we are required to comply with Nasdaq’s continued listing standards.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Company and Director Independence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“controlled company” exception to the Nasdaq rules provides that a company of which more than 50% of the voting power is held by an individual, group or another company, a “controlled company,” need not comply with certain requirements of the Nasdaq corporate governance rules. As stated above, Sam Lai, the Chairman of the Board, Chief Executive Officer and Interim Chief Financial Officer of the Company, and Maggie Yu, Senior Vice President of the Company and a member of the Board, who are husband and wife, together beneficially own 33,394,442 shares of the Company’s common stock, representing approximately 94.8% of the voting power of the Company’s outstanding common stock . As a result, the Company is a “controlled company” under the Nasdaq corporate governance standards. As a controlled company, we do not have to comply with certain corporate governance requirements under the Nasdaq rules, including the following:</w:t>
      </w:r>
    </w:p>
    <w:p>
      <w:pPr>
        <w:spacing w:after="0" w:line="189"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Company’s Board of Directors to consist of “independent directors” as defined by the applicable Nasdaq rules and regulations;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of the Company’s executive officers to be determined, or recommended to the Board of Directors for determination, by independent directors constituting a majority of the independent directors of the Board in a vote in which only independent directors participate or by a Compensation Committee comprised solely of independent directors;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director nominees to be selected, or recommended to the Board of Directors for selection, by independent directors constituting a majority of the independent directors of the Board in a vote in which only independent directors participate or by a nomination committee comprised solely of independent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intend to avail ourselves of each of these exemptions. More specifically, a majority of our board of directors will not consist of independent directors and we will not have a compensation committee or a nominating and corporate governance committee. Therefore, for as long as we remain a “controlled company,” we will not have the same protections afforded to stockholders of companies that are subject to all of these corporate governance requirements. If at any time the Company ceases to be a “controlled company” under the Nasdaq rules, our Board of Directors will take all action necessary to comply with the Nasdaq corporate governance rules, including establishing certain committees composed entirely of independent directors, subject to a permitted “phase-in” period.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our status as a controlled company, we will remain subject to the Nasdaq corporate governance standard that requires us to have an audit committee with at least three independent directors as well as composed entirely of independent directors. As a result, we were required, at the time of listing on Nasdaq, to have at least one independent director on our audit committee, at least two independent directors within 90 days of listing on Nasdaq, and at least three independent directors within one year of listing on Nasdaq, where at least one of the independent directors qualifies as an audit committee financial expert under SEC rules and as a financially sophisticated audit committee member under the Nasdaq rules.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affirmatively determined that two of our five directors (Sam Lai and Maggie Yu) are non-independent directors and three of our five directors (Michael Lenner, Minghui (Alan) Gao, and Hilary (Hui-Chong) Bui) are independent directors. our audit committee consists of the three independent directors: Messrs. Lenner and Gao and Ms. Bui. Ms. Bui is the chair of the audit committee. and qualifies as an audit committee financial expert under SEC rules and as a financially sophisticated audit committee member under the Nasdaq rules.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summary of fees paid or to be paid to HTL International, LLC (“HTL”), our independent registered public accounting firm, for the fiscal years ended December 31,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6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176,463</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168,750</w:t>
            </w: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80" w:type="dxa"/>
            <w:vAlign w:val="bottom"/>
            <w:gridSpan w:val="2"/>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176,463</w:t>
            </w:r>
          </w:p>
        </w:tc>
        <w:tc>
          <w:tcPr>
            <w:tcW w:w="102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168,750</w:t>
            </w:r>
          </w:p>
        </w:tc>
      </w:tr>
    </w:tbl>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Audit Fees</w:t>
      </w:r>
      <w:r>
        <w:rPr>
          <w:rFonts w:ascii="Times New Roman" w:cs="Times New Roman" w:eastAsia="Times New Roman" w:hAnsi="Times New Roman"/>
          <w:sz w:val="18"/>
          <w:szCs w:val="18"/>
          <w:color w:val="auto"/>
        </w:rPr>
        <w:t>. 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normally provided by our independent registered public accounting firm in connection with regulatory filings. The above amounts include interim procedures and audit fees, as well as attendance at Audit Committee meetings.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 services that are not required by statute or regulation and consultations concerning financial accounting and reporting standards.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Tax Fees</w:t>
      </w:r>
      <w:r>
        <w:rPr>
          <w:rFonts w:ascii="Times New Roman" w:cs="Times New Roman" w:eastAsia="Times New Roman" w:hAnsi="Times New Roman"/>
          <w:sz w:val="18"/>
          <w:szCs w:val="18"/>
          <w:color w:val="auto"/>
        </w:rPr>
        <w:t>. Tax fees consist of fees billed for tax planning services and tax advice. The board of directors must specifically approve all other tax</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w:t>
      </w:r>
    </w:p>
    <w:p>
      <w:pPr>
        <w:spacing w:after="0" w:line="20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All Other Fees</w:t>
      </w:r>
      <w:r>
        <w:rPr>
          <w:rFonts w:ascii="Times New Roman" w:cs="Times New Roman" w:eastAsia="Times New Roman" w:hAnsi="Times New Roman"/>
          <w:sz w:val="18"/>
          <w:szCs w:val="18"/>
          <w:color w:val="auto"/>
        </w:rPr>
        <w:t>. Other services are services provided by the independent registered public accounting firm that do not fall within the established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audit-related, and tax services categories. The board of directors preapproves specified other services that do not fall within any of the specified prohibited categories of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formation of our audit committee, all of the foregoing services were pre-approved by our audit committee. Our audit committee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or furnished as part of this annual report: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350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r>
      <w:tr>
        <w:trPr>
          <w:trHeight w:val="196"/>
        </w:trPr>
        <w:tc>
          <w:tcPr>
            <w:tcW w:w="77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500" w:type="dxa"/>
            <w:vAlign w:val="bottom"/>
            <w:shd w:val="clear" w:color="auto" w:fill="CCEEFF"/>
          </w:tcPr>
          <w:p>
            <w:pPr>
              <w:ind w:left="306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r>
      <w:tr>
        <w:trPr>
          <w:trHeight w:val="196"/>
        </w:trPr>
        <w:tc>
          <w:tcPr>
            <w:tcW w:w="77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3500" w:type="dxa"/>
            <w:vAlign w:val="bottom"/>
            <w:shd w:val="clear" w:color="auto" w:fill="CCEEFF"/>
          </w:tcPr>
          <w:p>
            <w:pPr>
              <w:ind w:left="306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r>
      <w:tr>
        <w:trPr>
          <w:trHeight w:val="196"/>
        </w:trPr>
        <w:tc>
          <w:tcPr>
            <w:tcW w:w="77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3500" w:type="dxa"/>
            <w:vAlign w:val="bottom"/>
            <w:shd w:val="clear" w:color="auto" w:fill="CCEEFF"/>
          </w:tcPr>
          <w:p>
            <w:pPr>
              <w:ind w:left="306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r>
      <w:tr>
        <w:trPr>
          <w:trHeight w:val="196"/>
        </w:trPr>
        <w:tc>
          <w:tcPr>
            <w:tcW w:w="77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3500" w:type="dxa"/>
            <w:vAlign w:val="bottom"/>
            <w:shd w:val="clear" w:color="auto" w:fill="CCEEFF"/>
          </w:tcPr>
          <w:p>
            <w:pPr>
              <w:ind w:left="306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21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060" w:type="dxa"/>
            <w:vAlign w:val="bottom"/>
            <w:tcBorders>
              <w:top w:val="single" w:sz="8" w:color="CCEEFF"/>
            </w:tcBorders>
          </w:tcPr>
          <w:p>
            <w:pPr>
              <w:spacing w:after="0"/>
              <w:rPr>
                <w:sz w:val="18"/>
                <w:szCs w:val="18"/>
                <w:color w:val="auto"/>
              </w:rPr>
            </w:pPr>
          </w:p>
        </w:tc>
        <w:tc>
          <w:tcPr>
            <w:tcW w:w="3500" w:type="dxa"/>
            <w:vAlign w:val="bottom"/>
            <w:tcBorders>
              <w:top w:val="single" w:sz="8" w:color="CCEEFF"/>
            </w:tcBorders>
          </w:tcPr>
          <w:p>
            <w:pPr>
              <w:spacing w:after="0"/>
              <w:rPr>
                <w:sz w:val="18"/>
                <w:szCs w:val="18"/>
                <w:color w:val="auto"/>
              </w:rPr>
            </w:pPr>
          </w:p>
        </w:tc>
      </w:tr>
      <w:tr>
        <w:trPr>
          <w:trHeight w:val="175"/>
        </w:trPr>
        <w:tc>
          <w:tcPr>
            <w:tcW w:w="77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500" w:type="dxa"/>
            <w:vAlign w:val="bottom"/>
            <w:shd w:val="clear" w:color="auto" w:fill="CCEEFF"/>
          </w:tcPr>
          <w:p>
            <w:pPr>
              <w:ind w:left="306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Schedules</w:t>
      </w:r>
    </w:p>
    <w:p>
      <w:pPr>
        <w:spacing w:after="0" w:line="225" w:lineRule="exact"/>
        <w:rPr>
          <w:rFonts w:ascii="Times New Roman" w:cs="Times New Roman" w:eastAsia="Times New Roman" w:hAnsi="Times New Roman"/>
          <w:sz w:val="18"/>
          <w:szCs w:val="18"/>
          <w:color w:val="auto"/>
        </w:rPr>
      </w:pP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schedules are omitted because they are not applicable or the amounts are immaterial and not required, or the required information is presented in the financial statements and notes thereto beginning on page F-1 of this annual report.</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hereby file as part of this annual report the exhibits listed in the Exhibit Index below. Exhibits which are incorporated herein by reference can be inspected and copied at the public reference facilities maintained by the SEC, 100 F Street, N.E., Room 1580, Washington, D.C. 20549. Copies of such material can also be obtained from the Public Reference Section of the SEC, 100 F Street, N.E., Washington, D.C. 20549, at prescribed rates or on the SEC website at www.sec.gov.</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320" w:type="dxa"/>
            <w:vAlign w:val="bottom"/>
            <w:gridSpan w:val="10"/>
          </w:tcPr>
          <w:p>
            <w:pPr>
              <w:jc w:val="center"/>
              <w:ind w:right="49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0"/>
        </w:trPr>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Certificate of Incorporation of Hour Loop, Inc. filed with the Washington Secretary of State on January 13, 2015 (incorporated by reference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5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to Exhibit 3.1 to the registrant’s registration statement on Form S-1 (File No. 333-260540), filed with the SEC on October 28, 2021).</w:t>
              </w:r>
            </w:hyperlink>
          </w:p>
        </w:tc>
        <w:tc>
          <w:tcPr>
            <w:tcW w:w="580" w:type="dxa"/>
            <w:vAlign w:val="bottom"/>
            <w:gridSpan w:val="2"/>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Certificate of Conversion of Hour Loop, Inc. filed with the Delaware Secretary of State on April 7, 2021 (incorporated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Exhibit 3.2 to the registrant’s registration statement on Form S-1 (File No. 333-260540), filed with the SEC on October 28, 2021).</w:t>
              </w:r>
            </w:hyperlink>
          </w:p>
        </w:tc>
        <w:tc>
          <w:tcPr>
            <w:tcW w:w="760" w:type="dxa"/>
            <w:vAlign w:val="bottom"/>
            <w:gridSpan w:val="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Certificate of Incorporation of Hour Loop, Inc. filed with the Delaware Secretary of State on April 7, 2021 (incorporated by reference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3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Exhibit 3.3 to the registrant’s registration statement on Form S-1 (File No. 333-260540), filed with the SEC on October 28, 2021).</w:t>
              </w:r>
            </w:hyperlink>
          </w:p>
        </w:tc>
        <w:tc>
          <w:tcPr>
            <w:tcW w:w="760" w:type="dxa"/>
            <w:vAlign w:val="bottom"/>
            <w:gridSpan w:val="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Certificate of Amendment to Certificate of Incorporation of Hour Loop, Inc. filed with the Delaware Secretary of State on September 23,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2021 (incorporated by reference to Exhibit 3.4 to the registrant’s registration statement on Form S-1 (File No. 333-260540), filed with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SEC on October 28,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Certificate of Amendment to Certificate of Incorporation of Hour Loop, Inc. filed with the Delaware Secretary of State on November 30,</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2021 (incorporated by reference to Exhibit 3.5 to Amendment No. 1 to the registrant’s registration statement on Form S-1 (File No. 333-</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260540)</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 xml:space="preserve"> filed with the SEC on December 16, 2021).</w:t>
              </w:r>
            </w:hyperlink>
          </w:p>
        </w:tc>
        <w:tc>
          <w:tcPr>
            <w:tcW w:w="6320" w:type="dxa"/>
            <w:vAlign w:val="bottom"/>
            <w:gridSpan w:val="10"/>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Bylaws (incorporated by reference to Exhibit 3.5 to the registrant’s registration statement on Form S-1 (File No. 333-260540), filed with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SEC on October 28,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Amendment to Bylaws (incorporated by reference to Exhibit 3.7 to Amendment No. 1 to the registrant’s registration statement on Form S-1</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(File No. 333-260540), filed with the SEC on January 3, 2022).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Amendment to Bylaws (incorporated by reference to Exhibit 3.1 to the registrant’s Current Report on Form 8-K filed with the SEC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March 17, 2026).</w:t>
              </w:r>
            </w:hyperlink>
          </w:p>
        </w:tc>
        <w:tc>
          <w:tcPr>
            <w:tcW w:w="886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Employment Agreement, dated May 27, 2021, by and between Hour Loop, Inc. and Sam Lai (incorporated by reference to Exhibit 10.1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the registrant’s registration statement on Form S-1 (File No. 333-260540), filed with the SEC on October 28, 2021).</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140" w:type="dxa"/>
            <w:vAlign w:val="bottom"/>
            <w:gridSpan w:val="16"/>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Employment Agreement, dated May 27, 2021, by and between Hour Loop, Inc. and Maggie Yu (incorporated by reference to Exhibit 10.2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the registrant’s registration statement on Form S-1 (File No. 333-260540), filed with the SEC on October 28, 2021).</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Director Agreement, dated June 21, 2021, by and between Hour Loop, Inc. and Michael Lenner (incorporated by reference to Exhibit 10.4</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to the registrant’s registration statement on Form S-1 (File No. 333-260540), filed with the SEC on October 28,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Director Agreement, dated June 21, 2021, by and between Hour Loop, Inc. and Douglas Branch (incorporated by reference to Exhibit 10.5</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to the registrant’s registration statement on Form S-1 (File No. 333-260540), filed with the SEC on October 28,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Director Agreement, dated October 6, 2021, by and between Hour Loop, Inc. and Minghui (Alan) Gao (incorporated by reference to Exhibit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0000EE"/>
                </w:rPr>
                <w:t xml:space="preserve"> to the registrant’s registration statement on Form S-1 (File No. 333-260540), filed with the SEC on October 28,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100" w:type="dxa"/>
            <w:vAlign w:val="bottom"/>
            <w:gridSpan w:val="5"/>
            <w:shd w:val="clear" w:color="auto" w:fill="0000EE"/>
          </w:tcPr>
          <w:p>
            <w:pPr>
              <w:spacing w:after="0" w:line="20" w:lineRule="exact"/>
              <w:rPr>
                <w:sz w:val="1"/>
                <w:szCs w:val="1"/>
                <w:color w:val="auto"/>
              </w:rPr>
            </w:pPr>
          </w:p>
        </w:tc>
        <w:tc>
          <w:tcPr>
            <w:tcW w:w="39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Hour Loop, Inc. 2021 Equity Incentive Plan (incorporated by reference to Exhibit 10.7 to the registrant’s registration statement on Form S-1</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(File No. 333-260540), filed with the SEC on October 28, 2021).</w:t>
              </w:r>
            </w:hyperlink>
          </w:p>
        </w:tc>
        <w:tc>
          <w:tcPr>
            <w:tcW w:w="546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Amazon Services Business Solutions Agreement between Amazon.com, Inc. and Hour Loop, Inc. (incorporated by reference to Exhibit 10.8</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to the registrant’s registration statement on Form S-1 (File No. 333-260540), filed with the SEC on October 28,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694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Changes to Amazon Services Business Solutions Agreement effective November 7, 2020 between Amazon.com, Inc. and Hour Loop, Inc.</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(incorporated by reference to Exhibit 10.9 to the registrant’s registration statement on Form S-1 (File No. 333-260540), filed with the SEC</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on October 28,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7000" w:type="dxa"/>
            <w:vAlign w:val="bottom"/>
            <w:gridSpan w:val="8"/>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Loan Agreement, dated October 15, 2021, among the Company and Sam Lai and Maggie Yu (incorporated by reference to Exhibit 10.12 to</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6"/>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the registrant’s registration statement on Form S-1 (File No. 333-260540), filed with the SEC on October 28, 2021).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340" w:type="dxa"/>
            <w:vAlign w:val="bottom"/>
            <w:gridSpan w:val="9"/>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Second Amendment to Loan Agreement, dated December 31, 2024, among the Company and Sam Lai and Maggie Yu.</w:t>
            </w:r>
          </w:p>
        </w:tc>
      </w:tr>
      <w:tr>
        <w:trPr>
          <w:trHeight w:val="479"/>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4660" w:type="dxa"/>
            <w:vAlign w:val="bottom"/>
            <w:tcBorders>
              <w:top w:val="single" w:sz="8" w:color="0000EE"/>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36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2" w:name="page73"/>
    <w:bookmarkEnd w:id="72"/>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4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Third Amendment to Loan Agreement, dated December 26, 2025, among the Company and Sam Lai and Maggie Yu.</w:t>
            </w:r>
          </w:p>
        </w:tc>
        <w:tc>
          <w:tcPr>
            <w:tcW w:w="1680" w:type="dxa"/>
            <w:vAlign w:val="bottom"/>
            <w:gridSpan w:val="5"/>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Addendum No. 1 to Executive Employment Agreement, dated as of January 20, 2022, by and between the registrant and Sam Lai</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(incorporated by reference to Exhibit 10.1 to the registrant’s Current Report on Form 8-K filed with the SEC on January 26, 2022).</w:t>
              </w:r>
            </w:hyperlink>
          </w:p>
        </w:tc>
      </w:tr>
      <w:tr>
        <w:trPr>
          <w:trHeight w:val="20"/>
        </w:trPr>
        <w:tc>
          <w:tcPr>
            <w:tcW w:w="11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Addendum No. 1 to Executive Employment Agreement, dated as of January 20, 2022, by and between the registrant and Sau Kuen Yu</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(incorporated by reference to Exhibit 10.2 to the registrant’s Current Report on Form 8-K filed with the SEC on January 26, 2022).</w:t>
              </w:r>
            </w:hyperlink>
          </w:p>
        </w:tc>
      </w:tr>
      <w:tr>
        <w:trPr>
          <w:trHeight w:val="20"/>
        </w:trPr>
        <w:tc>
          <w:tcPr>
            <w:tcW w:w="11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Director Agreement, dated as of February 20, 2023, by and between the registrant and Hillary Bui (incorporated by reference to Exhibit 10.1</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to the registrant’s Current Report on Form 8-K filed with the SEC on February 24, 2023).</w:t>
              </w:r>
            </w:hyperlink>
          </w:p>
        </w:tc>
      </w:tr>
      <w:tr>
        <w:trPr>
          <w:trHeight w:val="20"/>
        </w:trPr>
        <w:tc>
          <w:tcPr>
            <w:tcW w:w="11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Addendum No. 2 to Executive Employment Agreement, dated as of February 20, 2023, by and between the registrant and Sam Lai.</w:t>
              </w:r>
            </w:hyperlink>
          </w:p>
        </w:tc>
      </w:tr>
      <w:tr>
        <w:trPr>
          <w:trHeight w:val="196"/>
        </w:trPr>
        <w:tc>
          <w:tcPr>
            <w:tcW w:w="110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(incorporated by reference to Exhibit 10.2 to the registrant’s Current Report on Form 8-K filed with the SEC on February 24, 2023).</w:t>
              </w:r>
            </w:hyperlink>
          </w:p>
        </w:tc>
        <w:tc>
          <w:tcPr>
            <w:tcW w:w="62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Addendum No. 2 to Executive Employment Agreement, dated as of February 20, 2023, by and between the registrant and Sau Kuen Yu</w:t>
              </w:r>
            </w:hyperlink>
          </w:p>
        </w:tc>
      </w:tr>
      <w:tr>
        <w:trPr>
          <w:trHeight w:val="196"/>
        </w:trPr>
        <w:tc>
          <w:tcPr>
            <w:tcW w:w="110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(incorporated by reference to Exhibit 10.3 to the registrant’s Current Report on Form 8-K filed with the SEC on February 24, 2023).</w:t>
              </w:r>
            </w:hyperlink>
          </w:p>
        </w:tc>
        <w:tc>
          <w:tcPr>
            <w:tcW w:w="62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Addendum No. 4 to Executive Employment Agreement between the registrant and Sam Lai (incorporated by reference to Exhibit 10.1 to the</w:t>
              </w:r>
            </w:hyperlink>
          </w:p>
        </w:tc>
      </w:tr>
      <w:tr>
        <w:trPr>
          <w:trHeight w:val="196"/>
        </w:trPr>
        <w:tc>
          <w:tcPr>
            <w:tcW w:w="1100" w:type="dxa"/>
            <w:vAlign w:val="bottom"/>
          </w:tcPr>
          <w:p>
            <w:pPr>
              <w:spacing w:after="0"/>
              <w:rPr>
                <w:sz w:val="17"/>
                <w:szCs w:val="17"/>
                <w:color w:val="auto"/>
              </w:rPr>
            </w:pPr>
          </w:p>
        </w:tc>
        <w:tc>
          <w:tcPr>
            <w:tcW w:w="5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registrant’s Current Report on Form 8-K filed with the SEC on March 17, 2025).</w:t>
              </w:r>
            </w:hyperlink>
          </w:p>
        </w:tc>
        <w:tc>
          <w:tcPr>
            <w:tcW w:w="432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Addendum No. 4 to Executive Employment Agreement between the registrant and Sau Kuen Yu (incorporated by reference to Exhibit 10.2</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to the registrant’s Current Report on Form 8-K filed with the SEC on March 17, 2025).</w:t>
              </w:r>
            </w:hyperlink>
          </w:p>
        </w:tc>
      </w:tr>
      <w:tr>
        <w:trPr>
          <w:trHeight w:val="20"/>
        </w:trPr>
        <w:tc>
          <w:tcPr>
            <w:tcW w:w="11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140" w:type="dxa"/>
            <w:vAlign w:val="bottom"/>
            <w:gridSpan w:val="17"/>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Addendum No. 5 to Executive Employment Agreement, dated as of August 5, 2025, by and between the registrant and Sam Lai</w:t>
              </w:r>
            </w:hyperlink>
          </w:p>
        </w:tc>
      </w:tr>
      <w:tr>
        <w:trPr>
          <w:trHeight w:val="196"/>
        </w:trPr>
        <w:tc>
          <w:tcPr>
            <w:tcW w:w="1100" w:type="dxa"/>
            <w:vAlign w:val="bottom"/>
          </w:tcPr>
          <w:p>
            <w:pPr>
              <w:spacing w:after="0"/>
              <w:rPr>
                <w:sz w:val="17"/>
                <w:szCs w:val="17"/>
                <w:color w:val="auto"/>
              </w:rPr>
            </w:pPr>
          </w:p>
        </w:tc>
        <w:tc>
          <w:tcPr>
            <w:tcW w:w="93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(incorporated by reference to Exhibit 10.1 to the registrant’s Current Report on Form 8-K filed with the SEC on August 5, 2025).</w:t>
              </w:r>
            </w:hyperlink>
          </w:p>
        </w:tc>
        <w:tc>
          <w:tcPr>
            <w:tcW w:w="8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Addendum No. 5 to Executive Employment Agreement, dated as of August 5, 2025, by and between the registrant and Sau Kuen Yu</w:t>
              </w:r>
            </w:hyperlink>
          </w:p>
        </w:tc>
      </w:tr>
      <w:tr>
        <w:trPr>
          <w:trHeight w:val="196"/>
        </w:trPr>
        <w:tc>
          <w:tcPr>
            <w:tcW w:w="1100" w:type="dxa"/>
            <w:vAlign w:val="bottom"/>
          </w:tcPr>
          <w:p>
            <w:pPr>
              <w:spacing w:after="0"/>
              <w:rPr>
                <w:sz w:val="17"/>
                <w:szCs w:val="17"/>
                <w:color w:val="auto"/>
              </w:rPr>
            </w:pPr>
          </w:p>
        </w:tc>
        <w:tc>
          <w:tcPr>
            <w:tcW w:w="93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(incorporated by reference to Exhibit 10.2 to the registrant’s Current Report on Form 8-K filed with the SEC on August 5, 2025).</w:t>
              </w:r>
            </w:hyperlink>
          </w:p>
        </w:tc>
        <w:tc>
          <w:tcPr>
            <w:tcW w:w="84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Addendum No. 6 to Executive Employment Agreement, dated as of February 24, 2026, by and between the registrant and Sam Lai</w:t>
              </w:r>
            </w:hyperlink>
          </w:p>
        </w:tc>
      </w:tr>
      <w:tr>
        <w:trPr>
          <w:trHeight w:val="196"/>
        </w:trPr>
        <w:tc>
          <w:tcPr>
            <w:tcW w:w="110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(incorporated by reference to Exhibit 10.1 to the registrant’s Current Report on Form 8-K filed with the SEC on February 25, 2026).</w:t>
              </w:r>
            </w:hyperlink>
          </w:p>
        </w:tc>
        <w:tc>
          <w:tcPr>
            <w:tcW w:w="62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Addendum No. 6 to Executive Employment Agreement, dated as of February 24, 2026, by and between the registrant and Sau Kuen Yu</w:t>
              </w:r>
            </w:hyperlink>
          </w:p>
        </w:tc>
      </w:tr>
      <w:tr>
        <w:trPr>
          <w:trHeight w:val="196"/>
        </w:trPr>
        <w:tc>
          <w:tcPr>
            <w:tcW w:w="110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(incorporated by reference to Exhibit 10.2 to the registrant’s Current Report on Form 8-K filed with the SEC on February 25, 2026).</w:t>
              </w:r>
            </w:hyperlink>
          </w:p>
        </w:tc>
        <w:tc>
          <w:tcPr>
            <w:tcW w:w="620" w:type="dxa"/>
            <w:vAlign w:val="bottom"/>
            <w:gridSpan w:val="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14.1</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Code of Ethics (incorporated by reference to Exhibit 14.1 to the registrant’s registration statement on Form S-1 (File No. 333-260540), filed</w:t>
              </w:r>
            </w:hyperlink>
          </w:p>
        </w:tc>
      </w:tr>
      <w:tr>
        <w:trPr>
          <w:trHeight w:val="196"/>
        </w:trPr>
        <w:tc>
          <w:tcPr>
            <w:tcW w:w="1100" w:type="dxa"/>
            <w:vAlign w:val="bottom"/>
          </w:tcPr>
          <w:p>
            <w:pPr>
              <w:spacing w:after="0"/>
              <w:rPr>
                <w:sz w:val="17"/>
                <w:szCs w:val="17"/>
                <w:color w:val="auto"/>
              </w:rPr>
            </w:pPr>
          </w:p>
        </w:tc>
        <w:tc>
          <w:tcPr>
            <w:tcW w:w="2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with the SEC on October 28, 2021).</w:t>
              </w:r>
            </w:hyperlink>
          </w:p>
        </w:tc>
        <w:tc>
          <w:tcPr>
            <w:tcW w:w="7540" w:type="dxa"/>
            <w:vAlign w:val="bottom"/>
            <w:gridSpan w:val="1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Policy on Insider Trading (incorporated by reference to Exhibit 19.1 to the registrant’s Quarterly Report on Form 10-Q filed with the SEC</w:t>
              </w:r>
            </w:hyperlink>
          </w:p>
        </w:tc>
      </w:tr>
      <w:tr>
        <w:trPr>
          <w:trHeight w:val="196"/>
        </w:trPr>
        <w:tc>
          <w:tcPr>
            <w:tcW w:w="1100" w:type="dxa"/>
            <w:vAlign w:val="bottom"/>
          </w:tcPr>
          <w:p>
            <w:pPr>
              <w:spacing w:after="0"/>
              <w:rPr>
                <w:sz w:val="17"/>
                <w:szCs w:val="17"/>
                <w:color w:val="auto"/>
              </w:rPr>
            </w:pPr>
          </w:p>
        </w:tc>
        <w:tc>
          <w:tcPr>
            <w:tcW w:w="10140" w:type="dxa"/>
            <w:vAlign w:val="bottom"/>
            <w:gridSpan w:val="1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on May 6, 2024).</w:t>
              </w:r>
            </w:hyperlink>
          </w:p>
        </w:tc>
      </w:tr>
      <w:tr>
        <w:trPr>
          <w:trHeight w:val="20"/>
        </w:trPr>
        <w:tc>
          <w:tcPr>
            <w:tcW w:w="110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11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w:t>
            </w:r>
          </w:p>
        </w:tc>
      </w:tr>
      <w:tr>
        <w:trPr>
          <w:trHeight w:val="20"/>
        </w:trPr>
        <w:tc>
          <w:tcPr>
            <w:tcW w:w="110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Rule 13a-14(a) Certification of Principal Executive Officer</w:t>
            </w:r>
          </w:p>
        </w:tc>
        <w:tc>
          <w:tcPr>
            <w:tcW w:w="5880" w:type="dxa"/>
            <w:vAlign w:val="bottom"/>
            <w:gridSpan w:val="9"/>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Rule 13a-14(a) Certification of Principal Financial Officer</w:t>
            </w:r>
          </w:p>
        </w:tc>
      </w:tr>
      <w:tr>
        <w:trPr>
          <w:trHeight w:val="20"/>
        </w:trPr>
        <w:tc>
          <w:tcPr>
            <w:tcW w:w="110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of Principal</w:t>
            </w:r>
          </w:p>
        </w:tc>
      </w:tr>
      <w:tr>
        <w:trPr>
          <w:trHeight w:val="196"/>
        </w:trPr>
        <w:tc>
          <w:tcPr>
            <w:tcW w:w="1100" w:type="dxa"/>
            <w:vAlign w:val="bottom"/>
          </w:tcPr>
          <w:p>
            <w:pPr>
              <w:spacing w:after="0"/>
              <w:rPr>
                <w:sz w:val="17"/>
                <w:szCs w:val="17"/>
                <w:color w:val="auto"/>
              </w:rPr>
            </w:pPr>
          </w:p>
        </w:tc>
        <w:tc>
          <w:tcPr>
            <w:tcW w:w="35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 and Principal Financial Officer</w:t>
            </w:r>
          </w:p>
        </w:tc>
        <w:tc>
          <w:tcPr>
            <w:tcW w:w="6580" w:type="dxa"/>
            <w:vAlign w:val="bottom"/>
            <w:gridSpan w:val="1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1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Compensation Recovery Policy (incorporated by reference to Exhibit 97.1 to the registrant’s Annual Report on Form 10-K filed with the</w:t>
              </w:r>
            </w:hyperlink>
          </w:p>
        </w:tc>
      </w:tr>
      <w:tr>
        <w:trPr>
          <w:trHeight w:val="196"/>
        </w:trPr>
        <w:tc>
          <w:tcPr>
            <w:tcW w:w="1100" w:type="dxa"/>
            <w:vAlign w:val="bottom"/>
          </w:tcPr>
          <w:p>
            <w:pPr>
              <w:spacing w:after="0"/>
              <w:rPr>
                <w:sz w:val="17"/>
                <w:szCs w:val="17"/>
                <w:color w:val="auto"/>
              </w:rPr>
            </w:pPr>
          </w:p>
        </w:tc>
        <w:tc>
          <w:tcPr>
            <w:tcW w:w="1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SEC on March 26, 2024).</w:t>
              </w:r>
            </w:hyperlink>
          </w:p>
        </w:tc>
        <w:tc>
          <w:tcPr>
            <w:tcW w:w="8280" w:type="dxa"/>
            <w:vAlign w:val="bottom"/>
            <w:gridSpan w:val="14"/>
          </w:tcPr>
          <w:p>
            <w:pPr>
              <w:spacing w:after="0"/>
              <w:rPr>
                <w:sz w:val="17"/>
                <w:szCs w:val="17"/>
                <w:color w:val="auto"/>
              </w:rPr>
            </w:pPr>
          </w:p>
        </w:tc>
      </w:tr>
      <w:tr>
        <w:trPr>
          <w:trHeight w:val="45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9660" w:firstLine="8"/>
        <w:spacing w:after="0" w:line="261" w:lineRule="auto"/>
        <w:tabs>
          <w:tab w:leader="none" w:pos="1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**Furnished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contracts, compensation plans and arrangements.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ectPr>
          <w:pgSz w:w="11900" w:h="16887" w:orient="portrait"/>
          <w:cols w:equalWidth="0" w:num="1">
            <w:col w:w="11240"/>
          </w:cols>
          <w:pgMar w:left="320" w:top="702" w:right="339"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980" w:type="dxa"/>
            <w:vAlign w:val="bottom"/>
            <w:gridSpan w:val="4"/>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HOUR LOOP, INC.</w:t>
            </w:r>
          </w:p>
        </w:tc>
        <w:tc>
          <w:tcPr>
            <w:tcW w:w="160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6480" w:type="dxa"/>
            <w:vAlign w:val="bottom"/>
            <w:gridSpan w:val="6"/>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60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No.: 7000)</w:t>
            </w:r>
          </w:p>
        </w:tc>
        <w:tc>
          <w:tcPr>
            <w:tcW w:w="1600" w:type="dxa"/>
            <w:vAlign w:val="bottom"/>
            <w:shd w:val="clear" w:color="auto" w:fill="CCEEFF"/>
          </w:tcPr>
          <w:p>
            <w:pPr>
              <w:ind w:left="116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1600" w:type="dxa"/>
            <w:vAlign w:val="bottom"/>
            <w:shd w:val="clear" w:color="auto" w:fill="CCEEFF"/>
          </w:tcPr>
          <w:p>
            <w:pPr>
              <w:ind w:left="116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Income for the years ended December 31, 2025 and 2024</w:t>
            </w:r>
          </w:p>
        </w:tc>
        <w:tc>
          <w:tcPr>
            <w:tcW w:w="1600" w:type="dxa"/>
            <w:vAlign w:val="bottom"/>
            <w:shd w:val="clear" w:color="auto" w:fill="CCEEFF"/>
          </w:tcPr>
          <w:p>
            <w:pPr>
              <w:ind w:left="116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2025 and 2024</w:t>
            </w:r>
          </w:p>
        </w:tc>
        <w:tc>
          <w:tcPr>
            <w:tcW w:w="1600" w:type="dxa"/>
            <w:vAlign w:val="bottom"/>
            <w:shd w:val="clear" w:color="auto" w:fill="CCEEFF"/>
          </w:tcPr>
          <w:p>
            <w:pPr>
              <w:ind w:left="116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1600" w:type="dxa"/>
            <w:vAlign w:val="bottom"/>
            <w:shd w:val="clear" w:color="auto" w:fill="CCEEFF"/>
          </w:tcPr>
          <w:p>
            <w:pPr>
              <w:ind w:left="116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216"/>
        </w:trPr>
        <w:tc>
          <w:tcPr>
            <w:tcW w:w="31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6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600" w:type="dxa"/>
            <w:vAlign w:val="bottom"/>
            <w:shd w:val="clear" w:color="auto" w:fill="CCEEFF"/>
          </w:tcPr>
          <w:p>
            <w:pPr>
              <w:ind w:left="116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432"/>
        </w:trPr>
        <w:tc>
          <w:tcPr>
            <w:tcW w:w="316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980" w:type="dxa"/>
            <w:vAlign w:val="bottom"/>
            <w:tcBorders>
              <w:top w:val="single" w:sz="8" w:color="CCEEFF"/>
              <w:bottom w:val="single" w:sz="8" w:color="auto"/>
            </w:tcBorders>
            <w:gridSpan w:val="4"/>
          </w:tcPr>
          <w:p>
            <w:pPr>
              <w:jc w:val="center"/>
              <w:ind w:right="3060"/>
              <w:spacing w:after="0"/>
              <w:rPr>
                <w:sz w:val="20"/>
                <w:szCs w:val="20"/>
                <w:color w:val="auto"/>
              </w:rPr>
            </w:pPr>
            <w:r>
              <w:rPr>
                <w:rFonts w:ascii="Times New Roman" w:cs="Times New Roman" w:eastAsia="Times New Roman" w:hAnsi="Times New Roman"/>
                <w:sz w:val="18"/>
                <w:szCs w:val="18"/>
                <w:color w:val="auto"/>
                <w:w w:val="95"/>
              </w:rPr>
              <w:t>F-1</w:t>
            </w:r>
          </w:p>
        </w:tc>
        <w:tc>
          <w:tcPr>
            <w:tcW w:w="16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5" w:name="page76"/>
    <w:bookmarkEnd w:id="75"/>
    <w:p>
      <w:pPr>
        <w:ind w:left="27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Hour Loop,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Hour Loop, Inc. and its subsidiaries (the “Company”) as of December 31, 2025 and 2024, and the related consolidated statements of operations and comprehensive income, stockholders’ equity, and cash flows for each of the years in the two-year period ended December 31, 2025, and the related notes (collectively referred to as the financial statements). In our opinion, the financial statements present fairly, in all material respects, the consolidated financial positions of the Company as of December 31, 2025 and 2024, and the consolidated results of its operations and its cash flows for each of the years in the two-year period ended December 31, 2025,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HOUR LOOP,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3,792,033</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2,119,581</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235,959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1,650,547</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18,298,935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14,640,632</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619,261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327,894</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22,946,188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18,738,654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95,917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56,797</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609,964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1,060,104</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lease assets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169,368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111,409</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875,249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23,821,437</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19,966,964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6,200,526</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4,176,305</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cards payable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3,707,976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3,389,880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loan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637,348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610,967</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liabilities-current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92,362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114,540</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51,147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2,226,387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2,322,535</w:t>
            </w:r>
          </w:p>
        </w:tc>
        <w:tc>
          <w:tcPr>
            <w:tcW w:w="0" w:type="dxa"/>
            <w:vAlign w:val="bottom"/>
          </w:tcPr>
          <w:p>
            <w:pPr>
              <w:spacing w:after="0"/>
              <w:rPr>
                <w:sz w:val="1"/>
                <w:szCs w:val="1"/>
                <w:color w:val="auto"/>
              </w:rPr>
            </w:pPr>
          </w:p>
        </w:tc>
      </w:tr>
      <w:tr>
        <w:trPr>
          <w:trHeight w:val="23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parties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3,810,418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4,192,995</w:t>
            </w: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16,726,164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14,807,222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liabilities-non-current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83,271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18,143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101,414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16,827,578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14,807,222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none issued and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and 2024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8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35,176,320 and</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3,518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35,143,460 shares issued and outstanding as of December 31, 2025 and 2024,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92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3,514</w:t>
            </w:r>
          </w:p>
        </w:tc>
        <w:tc>
          <w:tcPr>
            <w:tcW w:w="0" w:type="dxa"/>
            <w:vAlign w:val="bottom"/>
          </w:tcPr>
          <w:p>
            <w:pPr>
              <w:spacing w:after="0"/>
              <w:rPr>
                <w:sz w:val="1"/>
                <w:szCs w:val="1"/>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5,862,683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5,802,686</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1,109,674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(595,175)</w:t>
            </w:r>
          </w:p>
        </w:tc>
        <w:tc>
          <w:tcPr>
            <w:tcW w:w="0" w:type="dxa"/>
            <w:vAlign w:val="bottom"/>
          </w:tcPr>
          <w:p>
            <w:pPr>
              <w:spacing w:after="0"/>
              <w:rPr>
                <w:sz w:val="1"/>
                <w:szCs w:val="1"/>
                <w:color w:val="auto"/>
              </w:rPr>
            </w:pPr>
          </w:p>
        </w:tc>
      </w:tr>
      <w:tr>
        <w:trPr>
          <w:trHeight w:val="230"/>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17,984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(51,283)</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6,993,859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5,159,742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23,821,437</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19,966,964</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gridSpan w:val="2"/>
          </w:tcPr>
          <w:p>
            <w:pPr>
              <w:spacing w:after="0" w:line="20" w:lineRule="exact"/>
              <w:rPr>
                <w:sz w:val="1"/>
                <w:szCs w:val="1"/>
                <w:color w:val="auto"/>
              </w:rPr>
            </w:pPr>
          </w:p>
        </w:tc>
        <w:tc>
          <w:tcPr>
            <w:tcW w:w="1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60" w:type="dxa"/>
            <w:vAlign w:val="bottom"/>
            <w:gridSpan w:val="5"/>
          </w:tcPr>
          <w:p>
            <w:pPr>
              <w:ind w:left="24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40" w:type="dxa"/>
            <w:vAlign w:val="bottom"/>
            <w:tcBorders>
              <w:bottom w:val="single" w:sz="8" w:color="auto"/>
            </w:tcBorders>
          </w:tcPr>
          <w:p>
            <w:pPr>
              <w:ind w:left="5500"/>
              <w:spacing w:after="0"/>
              <w:rPr>
                <w:sz w:val="20"/>
                <w:szCs w:val="20"/>
                <w:color w:val="auto"/>
              </w:rPr>
            </w:pPr>
            <w:r>
              <w:rPr>
                <w:rFonts w:ascii="Times New Roman" w:cs="Times New Roman" w:eastAsia="Times New Roman" w:hAnsi="Times New Roman"/>
                <w:sz w:val="18"/>
                <w:szCs w:val="18"/>
                <w:color w:val="auto"/>
              </w:rPr>
              <w:t>F-3</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HOUR LOOP,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5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142,440,236</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138,252,861</w:t>
            </w:r>
          </w:p>
        </w:tc>
      </w:tr>
      <w:tr>
        <w:trPr>
          <w:trHeight w:val="229"/>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(67,806,565)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(66,242,153)</w:t>
            </w: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74,633,671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72,010,708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62,400,787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61,808,979</w:t>
            </w: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9,771,954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9,470,789</w:t>
            </w:r>
          </w:p>
        </w:tc>
      </w:tr>
      <w:tr>
        <w:trPr>
          <w:trHeight w:val="210"/>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72,172,741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71,279,768</w:t>
            </w:r>
          </w:p>
        </w:tc>
        <w:tc>
          <w:tcPr>
            <w:tcW w:w="100" w:type="dxa"/>
            <w:vAlign w:val="bottom"/>
            <w:tcBorders>
              <w:bottom w:val="single" w:sz="8" w:color="CCEEFF"/>
            </w:tcBorders>
          </w:tcPr>
          <w:p>
            <w:pPr>
              <w:spacing w:after="0"/>
              <w:rPr>
                <w:sz w:val="18"/>
                <w:szCs w:val="18"/>
                <w:color w:val="auto"/>
              </w:rPr>
            </w:pPr>
          </w:p>
        </w:tc>
      </w:tr>
      <w:tr>
        <w:trPr>
          <w:trHeight w:val="209"/>
        </w:trPr>
        <w:tc>
          <w:tcPr>
            <w:tcW w:w="5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2,460,930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730,940</w:t>
            </w:r>
          </w:p>
        </w:tc>
      </w:tr>
      <w:tr>
        <w:trPr>
          <w:trHeight w:val="216"/>
        </w:trPr>
        <w:tc>
          <w:tcPr>
            <w:tcW w:w="5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(12,280)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(12,695)</w:t>
            </w: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(184,274)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(249,587)</w:t>
            </w:r>
          </w:p>
        </w:tc>
      </w:tr>
      <w:tr>
        <w:trPr>
          <w:trHeight w:val="229"/>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133,209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490,903</w:t>
            </w:r>
          </w:p>
        </w:tc>
      </w:tr>
      <w:tr>
        <w:trPr>
          <w:trHeight w:val="210"/>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14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(63,345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228,621</w:t>
            </w:r>
          </w:p>
        </w:tc>
        <w:tc>
          <w:tcPr>
            <w:tcW w:w="100" w:type="dxa"/>
            <w:vAlign w:val="bottom"/>
            <w:tcBorders>
              <w:bottom w:val="single" w:sz="8" w:color="CCEEFF"/>
            </w:tcBorders>
          </w:tcPr>
          <w:p>
            <w:pPr>
              <w:spacing w:after="0"/>
              <w:rPr>
                <w:sz w:val="18"/>
                <w:szCs w:val="18"/>
                <w:color w:val="auto"/>
              </w:rPr>
            </w:pPr>
          </w:p>
        </w:tc>
      </w:tr>
      <w:tr>
        <w:trPr>
          <w:trHeight w:val="209"/>
        </w:trPr>
        <w:tc>
          <w:tcPr>
            <w:tcW w:w="55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2,397,585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959,561</w:t>
            </w:r>
          </w:p>
        </w:tc>
      </w:tr>
      <w:tr>
        <w:trPr>
          <w:trHeight w:val="23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(692,736)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(302,114)</w:t>
            </w:r>
          </w:p>
        </w:tc>
      </w:tr>
      <w:tr>
        <w:trPr>
          <w:trHeight w:val="209"/>
        </w:trPr>
        <w:tc>
          <w:tcPr>
            <w:tcW w:w="5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1,704,849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657,447</w:t>
            </w:r>
          </w:p>
        </w:tc>
      </w:tr>
      <w:tr>
        <w:trPr>
          <w:trHeight w:val="216"/>
        </w:trPr>
        <w:tc>
          <w:tcPr>
            <w:tcW w:w="5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69,267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(25,644)</w:t>
            </w:r>
          </w:p>
        </w:tc>
      </w:tr>
      <w:tr>
        <w:trPr>
          <w:trHeight w:val="210"/>
        </w:trPr>
        <w:tc>
          <w:tcPr>
            <w:tcW w:w="55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1,774,116</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631,803</w:t>
            </w:r>
          </w:p>
        </w:tc>
      </w:tr>
      <w:tr>
        <w:trPr>
          <w:trHeight w:val="196"/>
        </w:trPr>
        <w:tc>
          <w:tcPr>
            <w:tcW w:w="55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income per common share</w:t>
            </w:r>
          </w:p>
        </w:tc>
        <w:tc>
          <w:tcPr>
            <w:tcW w:w="1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0.05</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35,164,886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35,119,761</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HOUR LOOP,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9"/>
        </w:trPr>
        <w:tc>
          <w:tcPr>
            <w:tcW w:w="382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9"/>
                <w:szCs w:val="19"/>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9"/>
                <w:szCs w:val="19"/>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3820" w:type="dxa"/>
            <w:vAlign w:val="bottom"/>
          </w:tcPr>
          <w:p>
            <w:pPr>
              <w:spacing w:after="0"/>
              <w:rPr>
                <w:sz w:val="20"/>
                <w:szCs w:val="20"/>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1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38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35,082,464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3,508</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$ 5,727,650</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(1,252,622)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(25,639)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4,452,897</w:t>
            </w:r>
          </w:p>
        </w:tc>
      </w:t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60,996</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75,036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75,042</w:t>
            </w:r>
          </w:p>
        </w:tc>
      </w:t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 translation adjustments</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(25,644)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(25,644)</w:t>
            </w:r>
          </w:p>
        </w:tc>
      </w:t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657,447</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657,447</w:t>
            </w:r>
          </w:p>
        </w:tc>
      </w:tr>
      <w:tr>
        <w:trPr>
          <w:trHeight w:val="210"/>
        </w:trPr>
        <w:tc>
          <w:tcPr>
            <w:tcW w:w="38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35,143,460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3,514</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$ 5,802,686</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(595,175)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(51,283)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5,159,742</w:t>
            </w:r>
          </w:p>
        </w:tc>
      </w:t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32,860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59,997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60,001</w:t>
            </w:r>
          </w:p>
        </w:tc>
      </w:t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Currency translation adjustments</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69,267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69,267</w:t>
            </w:r>
          </w:p>
        </w:tc>
      </w:tr>
      <w:tr>
        <w:trPr>
          <w:trHeight w:val="216"/>
        </w:trPr>
        <w:tc>
          <w:tcPr>
            <w:tcW w:w="3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1,704,849</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1,704,849</w:t>
            </w:r>
          </w:p>
        </w:tc>
      </w:tr>
      <w:tr>
        <w:trPr>
          <w:trHeight w:val="210"/>
        </w:trPr>
        <w:tc>
          <w:tcPr>
            <w:tcW w:w="38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35,176,320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3,518</w:t>
            </w:r>
          </w:p>
        </w:tc>
        <w:tc>
          <w:tcPr>
            <w:tcW w:w="11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$ 5,862,683</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1,109,674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17,984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6,993,859</w:t>
            </w:r>
          </w:p>
        </w:tc>
      </w:tr>
    </w:tbl>
    <w:p>
      <w:pPr>
        <w:spacing w:after="0"/>
        <w:rPr>
          <w:sz w:val="20"/>
          <w:szCs w:val="20"/>
          <w:color w:val="auto"/>
        </w:rPr>
      </w:pPr>
      <w:r>
        <w:rPr>
          <w:rFonts w:ascii="Times New Roman" w:cs="Times New Roman" w:eastAsia="Times New Roman" w:hAnsi="Times New Roman"/>
          <w:sz w:val="18"/>
          <w:szCs w:val="18"/>
          <w:b w:val="1"/>
          <w:bCs w:val="1"/>
          <w:color w:val="auto"/>
        </w:rPr>
        <w:t>Balance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HOUR LOOP,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1,704,849</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657,447</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expenses</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41,386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119,064</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lease assets</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153,964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211,348</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450,140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244,111</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18,143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60,001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75,042</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Inventory allowance</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447,841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560,293</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88,092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(87,520)</w:t>
            </w:r>
          </w:p>
        </w:tc>
      </w:tr>
      <w:tr>
        <w:trPr>
          <w:trHeight w:val="216"/>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(3,016)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1,414,588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(902,897)</w:t>
            </w:r>
          </w:p>
        </w:tc>
      </w:tr>
      <w:tr>
        <w:trPr>
          <w:trHeight w:val="216"/>
        </w:trPr>
        <w:tc>
          <w:tcPr>
            <w:tcW w:w="6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7"/>
              </w:rPr>
              <w:t>(4,106,144)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(924,370)</w:t>
            </w:r>
          </w:p>
        </w:tc>
      </w:tr>
      <w:tr>
        <w:trPr>
          <w:trHeight w:val="216"/>
        </w:trPr>
        <w:tc>
          <w:tcPr>
            <w:tcW w:w="6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(291,367)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177,079</w:t>
            </w:r>
          </w:p>
        </w:tc>
      </w:tr>
      <w:tr>
        <w:trPr>
          <w:trHeight w:val="216"/>
        </w:trPr>
        <w:tc>
          <w:tcPr>
            <w:tcW w:w="6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2,024,221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363,351</w:t>
            </w:r>
          </w:p>
        </w:tc>
      </w:tr>
      <w:tr>
        <w:trPr>
          <w:trHeight w:val="216"/>
        </w:trPr>
        <w:tc>
          <w:tcPr>
            <w:tcW w:w="6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Credit cards payable</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318,096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(1,014,565)</w:t>
            </w:r>
          </w:p>
        </w:tc>
      </w:tr>
      <w:tr>
        <w:trPr>
          <w:trHeight w:val="216"/>
        </w:trPr>
        <w:tc>
          <w:tcPr>
            <w:tcW w:w="6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360,275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1,043,600</w:t>
            </w:r>
          </w:p>
        </w:tc>
      </w:tr>
      <w:tr>
        <w:trPr>
          <w:trHeight w:val="216"/>
        </w:trPr>
        <w:tc>
          <w:tcPr>
            <w:tcW w:w="6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(150,960)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(208,843)</w:t>
            </w:r>
          </w:p>
        </w:tc>
      </w:tr>
      <w:tr>
        <w:trPr>
          <w:trHeight w:val="229"/>
        </w:trPr>
        <w:tc>
          <w:tcPr>
            <w:tcW w:w="6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 payable</w:t>
            </w: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51,147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2,581,256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3,016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(78,113)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(35,996)</w:t>
            </w: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(35,996)</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to related parties</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w w:val="97"/>
              </w:rPr>
              <w:t>(1,339,000)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(671,000)</w:t>
            </w:r>
          </w:p>
        </w:tc>
      </w:tr>
      <w:tr>
        <w:trPr>
          <w:trHeight w:val="230"/>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parties</w:t>
            </w: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500,000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(839,000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changes in foreign currency exchange rates</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5,293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29,284</w:t>
            </w:r>
          </w:p>
        </w:tc>
      </w:tr>
      <w:tr>
        <w:trPr>
          <w:trHeight w:val="210"/>
        </w:trPr>
        <w:tc>
          <w:tcPr>
            <w:tcW w:w="6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1,672,452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(364,572)</w:t>
            </w:r>
          </w:p>
        </w:tc>
      </w:tr>
      <w:tr>
        <w:trPr>
          <w:trHeight w:val="216"/>
        </w:trPr>
        <w:tc>
          <w:tcPr>
            <w:tcW w:w="6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year</w:t>
            </w: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2,119,581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2,484,153</w:t>
            </w:r>
          </w:p>
        </w:tc>
      </w:tr>
      <w:tr>
        <w:trPr>
          <w:trHeight w:val="210"/>
        </w:trPr>
        <w:tc>
          <w:tcPr>
            <w:tcW w:w="6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year</w:t>
            </w:r>
          </w:p>
        </w:tc>
        <w:tc>
          <w:tcPr>
            <w:tcW w:w="18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3,792,033</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2,119,581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184,099</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249,296</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18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238,976</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211,911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of assets and operating lease liabilities recognized</w:t>
            </w:r>
          </w:p>
        </w:tc>
        <w:tc>
          <w:tcPr>
            <w:tcW w:w="180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207,197</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248,716</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HOUR LOOP,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Summary of Significant Accounting Policies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Hour Loop, Inc. (“Hour Loop” or the “Company”) is a technology-enabled consumer products company that uses machine learning and data analytics to design, develop, market and sell products. Hour Loop predominantly operates through online retail channels such as Amazon, Walmart, and Hourloop.com. The Company, as an Internet marketplace seller, sells products in multiple categories, including home/garden décor, toys, kitchenware, apparel, and electronics. The Company has only one segment, which is online retail (e-commerce).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incorporated on January 13, 2015 under the laws of the state of Washington. On April 7, 2021, the Company was converted from a Washington corporation to a Delaware corporation.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2019, Hour Loop formed Flywheel Consulting Ltd. (“Flywheel”), a wholly owned subsidiary located in Taiwan, to provide business operating consulting services exclusively to Hour Loop.</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audited consolidated financial statements and accompanying notes of the Company have been prepared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(“U.S. GAAP”).</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audited consolidated financial statements include the accounts of Hour Loop and Flywheel. All material inter-company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and transactions were eliminated in consolidation.</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Foreign Currency and Currency Translation </w:t>
      </w:r>
      <w:r>
        <w:rPr>
          <w:rFonts w:ascii="Times New Roman" w:cs="Times New Roman" w:eastAsia="Times New Roman" w:hAnsi="Times New Roman"/>
          <w:sz w:val="18"/>
          <w:szCs w:val="18"/>
          <w:color w:val="auto"/>
        </w:rPr>
        <w:t>- The assets and liabilities of Flywheel, having a functional currency other than the U.S. dollar,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translated into U.S. dollars at exchange rates in effect at period-end, with resulting translation gains or losses included within other comprehensive income or loss. Revenues and expenses are translated into U.S. dollars at average monthly rates of exchange in effect during each period. All of the Company’s foreign operations use their local currency as their functional currency. Currency gains or losses resulting from transactions executed in currencies other than the functional currency are included in General and administrative in the consolidated statement of operations and other comprehensive income.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relevant exchange rates are listed below:</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980" w:type="dxa"/>
            <w:vAlign w:val="bottom"/>
          </w:tcPr>
          <w:p>
            <w:pPr>
              <w:spacing w:after="0"/>
              <w:rPr>
                <w:sz w:val="24"/>
                <w:szCs w:val="24"/>
                <w:color w:val="auto"/>
              </w:rPr>
            </w:pPr>
          </w:p>
        </w:tc>
        <w:tc>
          <w:tcPr>
            <w:tcW w:w="2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December 31,</w:t>
            </w:r>
          </w:p>
        </w:tc>
      </w:tr>
      <w:tr>
        <w:trPr>
          <w:trHeight w:val="238"/>
        </w:trPr>
        <w:tc>
          <w:tcPr>
            <w:tcW w:w="6980" w:type="dxa"/>
            <w:vAlign w:val="bottom"/>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20"/>
                <w:szCs w:val="20"/>
                <w:color w:val="auto"/>
              </w:rPr>
            </w:pPr>
          </w:p>
        </w:tc>
        <w:tc>
          <w:tcPr>
            <w:tcW w:w="19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NTD: USD exchange rate</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31.380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32.735</w:t>
            </w:r>
          </w:p>
        </w:tc>
      </w:t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Period Average NTD: USD exchange rate</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31.330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32.526</w:t>
            </w:r>
          </w:p>
        </w:tc>
      </w:tr>
    </w:tbl>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U.S. GAAP requires management to make estimates and assumptions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estimates, include but not limited to, estimates associated with the collectability of accounts receivable, useful life of property and equipment, impairment of long-lived assets, valuation allowance for deferred tax assets, inventory valuation and inventory provision.</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financial instruments purchased with original maturities of three months or less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cash. Our cash is held in the bank and covered by the Federal Deposit Insurance Corporation (“FDIC”), subject to applicable limits. Deposits are insured up to $250,000 per depositor, per FDIC-insured bank, per ownership category. Cash equivalents and marketable securities are comprised of time deposits, money market funds, highly liquid government bonds, corporate debt securities, mortgage-backed and asset-backed securities, and marketable equity securities. Our cash and cash equivalents primarily consisted of cash and money market funds. Such amounts are recorded at fair value.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Accounts Receivable and Allowance for Credit Losses </w:t>
      </w:r>
      <w:r>
        <w:rPr>
          <w:rFonts w:ascii="Times New Roman" w:cs="Times New Roman" w:eastAsia="Times New Roman" w:hAnsi="Times New Roman"/>
          <w:sz w:val="18"/>
          <w:szCs w:val="18"/>
          <w:color w:val="auto"/>
        </w:rPr>
        <w:t>- Accounts receivable are stated at historical cost less allowance for credit loss. On a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management evaluates its accounts receivable and determines whether to provide an allowance for credit losses in accordance with the Financial Accounting Standards Board’s (“FASB”) Accounting Standards Codification (“ASC”) Topic 326. Credit losses are provided based on a past history of write-offs, collections, current credit conditions, current economic conditions, reasonable and supportable forecasts of future economic conditions. The evaluation is performed on a collective basis where similar characteristics exist, primarily based on similar services or products offerings. We adopted the standard effective January 1, 2023. The impact of the adoption was not considered material to the financial statements and primarily resulted in new/enhanced disclosures only. A receivable is considered past due if the Company has not received payments based on agreed-upon terms. The Company generally does not require any security or collateral to support its receivables. The collection is primarily through Amazon and the collection period is usually less than 7 days. The Company performs on-going evaluations of its customers and maintains an allowance for credit losses as the Company deems necessary or appropriate. As of December 31, 2025 and 2024, the Company did not deem it necessary to have an allowance for credit loss.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Inventory and Cost of Goods Sold </w:t>
      </w:r>
      <w:r>
        <w:rPr>
          <w:rFonts w:ascii="Times New Roman" w:cs="Times New Roman" w:eastAsia="Times New Roman" w:hAnsi="Times New Roman"/>
          <w:sz w:val="18"/>
          <w:szCs w:val="18"/>
          <w:color w:val="auto"/>
        </w:rPr>
        <w:t>- The Company’s inventory consists mainly of finished goods. Inventories are stated at the lower of cost or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realizable value. Cost is principally determined on a first-in-first-out basis. The Company’s costs include the amounts it pays manufacturers for product, tariffs and duties associated with transporting product across national borders, and freight costs associated with transporting the product from its manufacturers to its warehouses, as applicable. The merchandise with terms of FOB shipping point from vendors was recorded as the inventory-in-transit when inventory left the shipping dock of the vendors but not yet reached the receiving dock of the Company. Management continually evaluates its estimates and judgments including those related to merchandise inventory.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revenues” line item in the audited consolidated statements of operations is principally inventory sold to customers during the reporting period.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Policy for inventory allowance: The Company writes down the cost of obsolete and slow-moving inventories to the estimated net realizable value, based on inventory obsolescence trends, historical experience, forecasted consumer demand and application of the specific identification method. As of December 31, 2025 and 2024, $447,841 and $560,293, respectively, were written down from the cost of inventories to their net realizable values. Full inventory allowance is recorded for the inventory SKU not sold for more than one year.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w:t>
      </w:r>
      <w:r>
        <w:rPr>
          <w:rFonts w:ascii="Times New Roman" w:cs="Times New Roman" w:eastAsia="Times New Roman" w:hAnsi="Times New Roman"/>
          <w:sz w:val="18"/>
          <w:szCs w:val="18"/>
          <w:color w:val="auto"/>
        </w:rPr>
        <w:t>- Property and equipment are recorded at cost and depreciated or amortized over the estimated useful life of the asset using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straight-line method. The Company elected to expense any individual property and equipment items under $2,500.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Company’s property and equipment is computers, and the estimated useful life is 3 years.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Impairment of Long-lived Assets</w:t>
      </w:r>
      <w:r>
        <w:rPr>
          <w:rFonts w:ascii="Times New Roman" w:cs="Times New Roman" w:eastAsia="Times New Roman" w:hAnsi="Times New Roman"/>
          <w:sz w:val="18"/>
          <w:szCs w:val="18"/>
          <w:color w:val="auto"/>
        </w:rPr>
        <w:t>- In accordance with ASC 360-10-35-17, if the carrying amount of an asset or asset group (in use or under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evaluated and found not to be fully recoverable (the carrying amount exceeds the estimated gross, undiscounted cash flows from use and disposition), then an impairment loss must be recognized. The impairment loss is measured as the excess of the carrying amount over the asset’s (or asset group’s) fair value. The Company did not record any impairment charges for the years ended December 31, 2025 and 2024.</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Leases are classified at lease commencement date as either a finance lease or an operating lease. A lease is a finance lease if it meets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criteria: (a) the lease transfers ownership of the underlying asset to the lessee by the end of the lease term, (b) the lease grants the lessee an option to purchase the underlying asset that the lessee is reasonably certain to exercise, (c) the lease term is for the major part of the remaining economic life of the underlying asset, (d) the present value of the sum of the lease payments and any residual value guaranteed by the lessee that is not already reflected in the lease payments equals or exceeds substantially all of the fair value of the underlying asset or (e) the underlying asset is of such a specialized nature that it is expected to have no alternative use to the lessor at the end of the lease term. When none of the foregoing criteria is met, the lease shall be classified as an operating lease.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typically utilizes operating leases for its office space requirements. This means that the Company leases office space, categorizing the lease arrangement as an operating lease. Under this arrangement, The Company does not hold ownership of the leased assets but instead pays rent for the right to use them.</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a lessee, a lease is recognized as an operating lease right-of-use asset with a corresponding liability at lease commencement date. The lease liability is calculated at the present value of the lease payments not yet paid by using the lease term and discount rate determined at lease commencement. The operating lease right-of-use asset is calculated as the lease liability, increased by any initial direct costs, and prepaid lease payments, reduced by any lease incentives received before lease commencement. The operating lease right-of-use asset itself is amortized on a straight-line basis unless another systematic method better reflects how the underlying asset will be used by and benefits the lessee over the lease term.</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 </w:t>
      </w:r>
      <w:r>
        <w:rPr>
          <w:rFonts w:ascii="Times New Roman" w:cs="Times New Roman" w:eastAsia="Times New Roman" w:hAnsi="Times New Roman"/>
          <w:sz w:val="18"/>
          <w:szCs w:val="18"/>
          <w:color w:val="auto"/>
        </w:rPr>
        <w:t>- Fair value is defined as the exchange price that would be received for an asset or paid to transfer a liability (an exit price)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or most advantageous market for the asset or liability in an orderly transaction between market participants at the measurement date. The carrying amounts reported in the consolidated balance sheets for cash and cash equivalents, accounts receivable, accounts payable, due to related parties and short-term debt at fair value or cost, which approximates fair value because of the short period of time between the origination of such instruments and their expected realization and their current market rates of interest.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76"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based on unobservable inputs reflecting our own assumptions, consistent with reasonably available assumptions made by other market participants. These valuations require significant judgment.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The Company accounts for revenue in accordance with ASC Topic 606, Revenue from Contracts with Customers (“ASC 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606”). The Company adopted ASC Topic 606 as of January 1, 2019. The standard did not affect the Company’s consolidated financial position, or cash flows. There were no changes to the timing of revenue recognition as a result of the adoption.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which provided a five-step model for recognizing revenue from contracts with customers as follows:</w:t>
      </w:r>
    </w:p>
    <w:p>
      <w:pPr>
        <w:spacing w:after="0" w:line="162"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performance obligations are satisfied.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 because the Company as principal owns and controls all the goods before they are transferred to the customer. The Company can, at any time, direct Amazon, similarly, other third-party logistics providers (“Logistics Providers”), to return the Company’s inventories to any location specified by the Company. It is the Company’s responsibility to make any returns made by customers directly to Logistics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derives its revenue from the sale of consumer products. The Company sells its products directly to consumers through online retail channels. The Company considers customer order confirmations to be a contract with the customer. For each contract, the promise to transfer products is identified as the sole performance obligation. Transaction prices are evaluated for potential refunds or adjustments, determining the net consideration expected. Revenues for the years ended December 31, 2025 and 2024 were recognized at a point in time. Customer confirmations are executed at the time an order is placed through third-party online channels. 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customer can return the products within 30 days after the products are delivered and estimated sales returns are calculated based on the expected returns. The rates of sales returns were 7.26% and 7.19% of gross sales for the years ended December 31, 2025 and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offers price discounts on certain selected items to stimulate the sales of those items. Revenue is measured as the amount of consideration for which the Company expects to be entitled in exchange for transferring goods. Consistent with this policy, the Company reduces the amount of these discounts from the gross revenue to calculate the net revenue recorded on the statement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performance obligation, defined as the promise to transfer a distinct good, is the unit of account in ASC Topic 606. The Company treats shipping and handling as fulfillment activities, not separate performance obligations. Costs for shipping and handling were $32,050,121 and $31,480,104 for the years ended December 31, 2025 and 2024, respectively, recorded as selling and marketing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The Company has only one segment, which is online retail (e-commerce).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The Company’s chief operating decision maker has been identified as the chief executive officer of the Company who reviews financial information of separate operating segments based on U.S. GAAP. The chief operating decision maker now reviews results analyzed by customers. This analysis is only presented at the revenue level with no allocation of direct or indirect costs. Consequently, the Company has determined that it has only one operating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Income tax expense includes U.S. (federal and state) and foreign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complied with state tax codes and regulations, including with respect to California franchise taxes. Management has evaluated its tax positions and has concluded that the Company had taken no uncertain tax positions that could require adjustment or disclosure in the financial statements to comply with provisions set forth in ASC section 740, Income Taxes.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represent amounts available to reduce income taxes payable in future periods. Deferred tax assets are evaluated for future realization and reduced by a valuation allowance to the extent we believe they will not be realized. We consider many factors when assessing the likelihood of future realization of our deferred tax assets, including recent cumulative loss experience and expectations of future earnings, capital gains and investment in such jurisdiction, the carry-forward periods available to us for tax reporting purposes, and other relevant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Presentation of Sales Taxes </w:t>
      </w:r>
      <w:r>
        <w:rPr>
          <w:rFonts w:ascii="Times New Roman" w:cs="Times New Roman" w:eastAsia="Times New Roman" w:hAnsi="Times New Roman"/>
          <w:sz w:val="18"/>
          <w:szCs w:val="18"/>
          <w:color w:val="auto"/>
        </w:rPr>
        <w:t>- Governmental authorities impose sales tax on all of the Company’s sales to nonexempt customers. The Company collects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tax from customers and remits the entire amount to the governmental authorities. The Company’s accounting policy is to exclude the tax collected and remitted from revenues and cost of revenues.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Risks - </w:t>
      </w:r>
      <w:r>
        <w:rPr>
          <w:rFonts w:ascii="Times New Roman" w:cs="Times New Roman" w:eastAsia="Times New Roman" w:hAnsi="Times New Roman"/>
          <w:sz w:val="18"/>
          <w:szCs w:val="18"/>
          <w:color w:val="auto"/>
        </w:rPr>
        <w:t>Financial instruments that potentially subject the Company to concentrations of credit risk consist primarily of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and accounts receivable. The Company maintains cash and cash equivalents with various domestic and foreign financial institutions of high credit quality. The Company performs periodic evaluations of the relative credit standing of all of the aforementioned institutions.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reserves for potential credit losses on customer accounts when deemed necessary. Significant customers are those which represent more than 10% of the Company’s total net revenue or gross accounts receivable balance at the balance sheet date. During the years ended December 31, 2025 and 2024, the Company had no customer that accounted for 10% or more of total net revenues. In addition, as of December 31, 2025 and 2024, the Company had no customer that accounted for 10% or more of gross accounts receivable. As of December 31, 2025 and 2024, all of the Company’s accounts receivable were held by the Company’s sales platform agent, Amazon, which collects money on the Company’s behalf from its customers. Therefore, the Company’s accounts receivable are comprised of receivables due from Amazon and the reimbursement from Amazon to the Company usually takes less than 7 days.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business is reliant on one key vendor which currently provides the Company with its sales platform, logistics and fulfillment operations, including certain warehousing for the Company’s net goods, and invoicing and collection of its revenue from the Company’s end customers. During the years ended December 31, 2025 and 2024, approximately 98% and 99%, respectively, of the Company’s revenue was through or with the Amazon sales platform.</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Foreign Currency Exchange Risk </w:t>
      </w:r>
      <w:r>
        <w:rPr>
          <w:rFonts w:ascii="Times New Roman" w:cs="Times New Roman" w:eastAsia="Times New Roman" w:hAnsi="Times New Roman"/>
          <w:sz w:val="18"/>
          <w:szCs w:val="18"/>
          <w:color w:val="auto"/>
        </w:rPr>
        <w:t>- The Company is exposed to foreign currency exchange risk through its foreign subsidiary in Taiwan.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hedge foreign currency translation risk in the net assets and income reported from these sources.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Advertising and Promotion Expenses </w:t>
      </w:r>
      <w:r>
        <w:rPr>
          <w:rFonts w:ascii="Times New Roman" w:cs="Times New Roman" w:eastAsia="Times New Roman" w:hAnsi="Times New Roman"/>
          <w:sz w:val="18"/>
          <w:szCs w:val="18"/>
          <w:color w:val="auto"/>
        </w:rPr>
        <w:t>– Our policy is to recognize advertising costs as they are incurred. Advertising and promotion expenses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$5,777,969 and $5,323,886 for the years ended December 31, 2025 and 2024, respectively.</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 Liabilities for loss contingencies arising from claims, assessments, litigation, fines, penalties, and other sources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recorded when it is probable that a liability has been incurred and the amount can be reasonably estimated. Legal costs incurred in connection with loss contingencies are expensed as incurred.</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Related Parties </w:t>
      </w:r>
      <w:r>
        <w:rPr>
          <w:rFonts w:ascii="Times New Roman" w:cs="Times New Roman" w:eastAsia="Times New Roman" w:hAnsi="Times New Roman"/>
          <w:sz w:val="18"/>
          <w:szCs w:val="18"/>
          <w:color w:val="auto"/>
        </w:rPr>
        <w:t>- The Company accounts for related party transactions in accordance with FASB ASC Topic 850 (Related Party Disclosures). A party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Earnings per Share - </w:t>
      </w:r>
      <w:r>
        <w:rPr>
          <w:rFonts w:ascii="Times New Roman" w:cs="Times New Roman" w:eastAsia="Times New Roman" w:hAnsi="Times New Roman"/>
          <w:sz w:val="18"/>
          <w:szCs w:val="18"/>
          <w:color w:val="auto"/>
        </w:rPr>
        <w:t>The Company computes basic earnings per common share using the weighted-average number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during the period. For the period in which the Company reports net losses, diluted net loss per share attributable to stockholders is the same as basic net loss per share attributable to stockholders, because potentially dilutive common shares are not assumed to have been issued if their effect is anti-dilutive. There were no dilutive securities or other items that would affect earnings per share for the years ended December 31, 2025 and 2024. Therefore, the diluted earnings per share is the same as the basic earnings per share.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Shares Issued for Services </w:t>
      </w:r>
      <w:r>
        <w:rPr>
          <w:rFonts w:ascii="Times New Roman" w:cs="Times New Roman" w:eastAsia="Times New Roman" w:hAnsi="Times New Roman"/>
          <w:sz w:val="18"/>
          <w:szCs w:val="18"/>
          <w:color w:val="auto"/>
        </w:rPr>
        <w:t>– Stock-based compensation cost for all equity-classified stock awards expected to vest is measured at fair value on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and recognized over the service period.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NOTE 2 - Recently Issued and Adopted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2023-07 on Improvements to Reportable Segment Disclosures, which requires entities to disclose incremental segment information on an annual and interim basis, including significant segment expenses and measures of profit or loss that are regularly provided to the CODM. The standard is effective for fiscal years beginning after December 15, 2023, and interim periods within fiscal years beginning after December 15, 2024. The Company adopted this ASU beginning with the interim periods in the fiscal year starting January 1, 2025, and for the annual period ending December 31, 2025. The adoption did not have a material impact on the Company’s consolidated financial statements and related disclosures.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on Improvements to Income Tax Disclosures that require greater disaggregation of income tax disclosures to the income rate tax rate reconciliation and income taxes paid. The Updates are effective for annual periods beginning after December 15, 2024. The Company adopted and applied the guidance in fiscal year 2025. The adoption did not have a material impact on our results of operations, cash flows, or financial condition, though the Company is still evaluating the disclosure impact.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which requires the disaggregation of certain expenses in the notes of the financials, to provide enhanced transparency into the expense captions presented on the face of the income statement. ASU 2024-03 is effective for annual reporting periods beginning after December 15, 2026 and interim periods beginning after December 15, 2027 and may be applied either prospectively or retrospectively. There is no material impact expected to our results of operations, cash flows and financial condition at the time of adoption, however the Company is still assessing the disclosure impact.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above-mentioned pronouncements, there are no recently issued accounting standards that will have a material impact on the consolidated financial position, statements of operations and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Inventory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Inventory was comprised of the following as of December 31, 2025 and 2024, respectively:</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16,061,329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12,716,062</w:t>
            </w:r>
          </w:p>
        </w:tc>
        <w:tc>
          <w:tcPr>
            <w:tcW w:w="8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Inventory-in-transit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2,685,447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2,484,863</w:t>
            </w:r>
          </w:p>
        </w:tc>
        <w:tc>
          <w:tcPr>
            <w:tcW w:w="80" w:type="dxa"/>
            <w:vAlign w:val="bottom"/>
          </w:tcPr>
          <w:p>
            <w:pPr>
              <w:spacing w:after="0"/>
              <w:rPr>
                <w:sz w:val="18"/>
                <w:szCs w:val="18"/>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(447,841)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(560,293)</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18,298,935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14,640,632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$447,841 and $560,293 were written down from the cost of purchased inventory to their net realizable values, respectively. Full inventory allowance is recorded for the inventory SKU not sold for more than one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of inventory is recorded under cost of goods sold in the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were comprised of the following as of December 31, 2025 and 2024, respectively:</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193,115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71,934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expenses-insurance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2,174</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expenses-other</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79,880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33,501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Lease refundable deposit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59,780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49,939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223,030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157,538</w:t>
            </w: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18,456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12,808</w:t>
            </w:r>
          </w:p>
        </w:tc>
      </w:tr>
      <w:tr>
        <w:trPr>
          <w:trHeight w:val="223"/>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619,261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there was a tax receivable of $223,030 and $157,538, respectively, due to income taxes prepaid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December 31, 2025 and 2024,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5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460,477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381,067</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(364,560)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(324,270)</w:t>
            </w: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 purchased $78,113 and $35,996 of fixtures and office equipment,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 had $41,386 and $119,064,  recorded for depreciation, respectively.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disposed $-0- and $-0- of property and equipment, respectively. The disposal resulted in a gain of $3,016, which is included in other income for the period. The cash proceeds are reflected within investing activities in the statement of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 had no pledge on property and equipment.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Accounts Payable and Credit Cards Payable</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5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6,200,526</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4,176,305</w:t>
            </w: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Credit cards payable</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3,707,976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3,389,880</w:t>
            </w:r>
          </w:p>
        </w:tc>
      </w:tr>
    </w:tbl>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accounts payable represent amounts owed to suppliers or other creditors for goods or services purchased but not yet paid for. As of December 31, 2025 and 2024, there were accounts payable of $6,200,526 and $4,176,305,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credit cards payable consisted of outstanding balances on credit cards held by the Company. As of December 31, 2025 and 2024, there were credit cards payable of $3,707,976 and $3,389,880,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NOTE 7 - Short-Term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August 18, 2022, Flywheel entered into a line of credit agreement in the amount of $6,940,063 with Taishin International Bank (“Taishin”). As amended, the line of credit matures on May 18, 2026 and bears interest at a rate of 3.42% per annum.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outstanding balance under the Taishin line of credit was $637,348 and $610,967,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were comprised of the following as of December 31, 2025 and 2024,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09"/>
        </w:trPr>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16,069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Refund liability</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729,320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766,721</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354,362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302,685</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782,612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963,800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268,155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255,154</w:t>
            </w: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2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75,869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34,175</w:t>
            </w:r>
          </w:p>
        </w:tc>
      </w:tr>
      <w:tr>
        <w:trPr>
          <w:trHeight w:val="223"/>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2,226,387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2,322,535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has accrued $729,320 and $766,721, respectively, in a proactive approach towards potential future refunds.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bonus expense is accrued on an annual basis, when the Company’s financial or operational performance meets the required performance level. The Company has $782,612 and $963,800 accrued for bonuses as of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two operating leases (Flywheel’s office leases in Taiwan) as of December 31, 2025. The leased assets in Flywheel are presented as operating lease right-of-use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reconciles the fixed component of the undiscounted cash flows for each of the first five years and the total remaining years to the operating lease liabilities recorded in the statements of financial position as of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Flywheel</w:t>
            </w:r>
          </w:p>
        </w:tc>
        <w:tc>
          <w:tcPr>
            <w:tcW w:w="14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Flywheel</w:t>
            </w:r>
          </w:p>
        </w:tc>
        <w:tc>
          <w:tcPr>
            <w:tcW w:w="1140" w:type="dxa"/>
            <w:vAlign w:val="bottom"/>
          </w:tcPr>
          <w:p>
            <w:pPr>
              <w:spacing w:after="0"/>
              <w:rPr>
                <w:sz w:val="20"/>
                <w:szCs w:val="20"/>
                <w:color w:val="auto"/>
              </w:rPr>
            </w:pPr>
          </w:p>
        </w:tc>
      </w:tr>
      <w:tr>
        <w:trPr>
          <w:trHeight w:val="205"/>
        </w:trPr>
        <w:tc>
          <w:tcPr>
            <w:tcW w:w="4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center"/>
              <w:ind w:right="170"/>
              <w:spacing w:after="0" w:line="205" w:lineRule="exact"/>
              <w:rPr>
                <w:sz w:val="20"/>
                <w:szCs w:val="20"/>
                <w:color w:val="auto"/>
              </w:rPr>
            </w:pPr>
            <w:r>
              <w:rPr>
                <w:rFonts w:ascii="Times New Roman" w:cs="Times New Roman" w:eastAsia="Times New Roman" w:hAnsi="Times New Roman"/>
                <w:sz w:val="18"/>
                <w:szCs w:val="18"/>
                <w:color w:val="auto"/>
                <w:w w:val="97"/>
              </w:rPr>
              <w:t>June 2025</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center"/>
              <w:ind w:right="50"/>
              <w:spacing w:after="0" w:line="205" w:lineRule="exact"/>
              <w:rPr>
                <w:sz w:val="20"/>
                <w:szCs w:val="20"/>
                <w:color w:val="auto"/>
              </w:rPr>
            </w:pPr>
            <w:r>
              <w:rPr>
                <w:rFonts w:ascii="Times New Roman" w:cs="Times New Roman" w:eastAsia="Times New Roman" w:hAnsi="Times New Roman"/>
                <w:sz w:val="18"/>
                <w:szCs w:val="18"/>
                <w:color w:val="auto"/>
                <w:w w:val="99"/>
              </w:rPr>
              <w:t>December 2025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Initial lease term</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to June 2027</w:t>
            </w:r>
          </w:p>
        </w:tc>
        <w:tc>
          <w:tcPr>
            <w:tcW w:w="14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to November 2028</w:t>
            </w:r>
          </w:p>
        </w:tc>
        <w:tc>
          <w:tcPr>
            <w:tcW w:w="1140" w:type="dxa"/>
            <w:vAlign w:val="bottom"/>
          </w:tcPr>
          <w:p>
            <w:pPr>
              <w:spacing w:after="0"/>
              <w:rPr>
                <w:sz w:val="20"/>
                <w:szCs w:val="20"/>
                <w:color w:val="auto"/>
              </w:rPr>
            </w:pPr>
          </w:p>
        </w:tc>
      </w:tr>
      <w:tr>
        <w:trPr>
          <w:trHeight w:val="210"/>
        </w:trPr>
        <w:tc>
          <w:tcPr>
            <w:tcW w:w="49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recognition of operating lease right-of-use assets</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127,226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79,971</w:t>
            </w:r>
          </w:p>
        </w:tc>
        <w:tc>
          <w:tcPr>
            <w:tcW w:w="1140" w:type="dxa"/>
            <w:vAlign w:val="bottom"/>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at December 31, 2025</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114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at December 31, 2025</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140" w:type="dxa"/>
            <w:vAlign w:val="bottom"/>
          </w:tcPr>
          <w:p>
            <w:pPr>
              <w:spacing w:after="0"/>
              <w:rPr>
                <w:sz w:val="18"/>
                <w:szCs w:val="18"/>
                <w:color w:val="auto"/>
              </w:rPr>
            </w:pPr>
          </w:p>
        </w:tc>
      </w:tr>
      <w:tr>
        <w:trPr>
          <w:trHeight w:val="432"/>
        </w:trPr>
        <w:tc>
          <w:tcPr>
            <w:tcW w:w="49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F-14</w:t>
            </w: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8" w:name="page89"/>
    <w:bookmarkEnd w:id="88"/>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liabilities-current as of December 31, 2025 and 2024 were $92,362 and $114,540, respectively. Operating lease liabilities-non-current as of December 31, 2025 and 2024 were $83,271 and $-0-, respectively. The operating lease right-of-use assets balance as of December 31, 2025 and 2024, were $169,368 and $111,409,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amortization of the operating lease right-of-use asset was $153,964 and $211,348, respectively. These amounts were recorded in general and administrative expenses. Additionally, for the years ended December 31, 2025 and 2024, the Company made lease payments of $150,960 and $208,843, respectively, which were included in the operating cash flows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The future minimum lease payment schedule for all operating leases as of December 31, 2025, is as disclosed below.</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the Year Ending December 31,</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Amount</w:t>
            </w:r>
          </w:p>
        </w:tc>
      </w:tr>
      <w:tr>
        <w:trPr>
          <w:trHeight w:val="210"/>
        </w:trPr>
        <w:tc>
          <w:tcPr>
            <w:tcW w:w="9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6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94,036</w:t>
            </w:r>
          </w:p>
        </w:tc>
      </w:tr>
      <w:tr>
        <w:trPr>
          <w:trHeight w:val="216"/>
        </w:trPr>
        <w:tc>
          <w:tcPr>
            <w:tcW w:w="9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61,330</w:t>
            </w:r>
          </w:p>
        </w:tc>
      </w:tr>
      <w:tr>
        <w:trPr>
          <w:trHeight w:val="216"/>
        </w:trPr>
        <w:tc>
          <w:tcPr>
            <w:tcW w:w="9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26,890</w:t>
            </w:r>
          </w:p>
        </w:tc>
      </w:tr>
      <w:tr>
        <w:trPr>
          <w:trHeight w:val="230"/>
        </w:trPr>
        <w:tc>
          <w:tcPr>
            <w:tcW w:w="9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 and thereafter</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(6,623)</w:t>
            </w:r>
          </w:p>
        </w:tc>
      </w:tr>
      <w:tr>
        <w:trPr>
          <w:trHeight w:val="210"/>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the future minimum lease payment</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Less: operating lease liabilities-current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(92,362)</w:t>
            </w:r>
          </w:p>
        </w:tc>
      </w:tr>
      <w:tr>
        <w:trPr>
          <w:trHeight w:val="210"/>
        </w:trPr>
        <w:tc>
          <w:tcPr>
            <w:tcW w:w="9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liabilities-non-current</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Party Balances and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receives loans and advances from its stockholders to fund its operations. Stockholder loans and advances are payable on demand. As of December 31, 2025 and 2024, the Company had $3,810,418 and $4,192,995, respectively, due to related parties (Sam Lai, the Company’s Chairman of the Board, Chief Executive Officer and Interim Chief Financial Officer and a significant stockholder of the Company; and Maggie Yu, the Company’s Senior Vice President, a member of the Company’s Board of Directors and a significant stockholder of the Company). The loan is memorialized in a subordinated Loan Agreement. As amended, the loan matures on December 31, 2026 and has an annual interest rate of 4.75%.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this amount included $2,660,418 in stockholder payables and $1,150,000 accrued for bonuses. As of December 31, 2024, this amount included $3,499,418 in stockholder payables and $693,577 accrued for bonuses.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 made repayments to related parties of $1,339,000 and $671,000,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and 2024, the company received proceeds from related parties of $500,000 and $-0-,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8"/>
        </w:trPr>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11 – Disaggregation of Revenue</w:t>
            </w: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Revenue was comprised of the following for the years ended December 31, 2025 and 2024, respectively:</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Revenue-America</w:t>
            </w:r>
          </w:p>
        </w:tc>
        <w:tc>
          <w:tcPr>
            <w:tcW w:w="4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147,116,306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144,760,995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Revenue-International</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6,943,050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4,947,516</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Revenue-Other</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841,029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1,148,935</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Sales returns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(11,251,836)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(10,840,277)</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Discounts</w:t>
            </w:r>
          </w:p>
        </w:tc>
        <w:tc>
          <w:tcPr>
            <w:tcW w:w="4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(1,208,313)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(1,764,308)</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142,440,236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138,252,861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Income Tax</w:t>
            </w: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80" w:type="dxa"/>
            <w:vAlign w:val="bottom"/>
            <w:vMerge w:val="continue"/>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components of income taxes expense are as follows: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380" w:type="dxa"/>
            <w:vAlign w:val="bottom"/>
            <w:tcBorders>
              <w:bottom w:val="single" w:sz="8" w:color="CCEEFF"/>
            </w:tcBorders>
          </w:tcPr>
          <w:p>
            <w:pPr>
              <w:spacing w:after="0"/>
              <w:rPr>
                <w:sz w:val="24"/>
                <w:szCs w:val="24"/>
                <w:color w:val="auto"/>
              </w:rPr>
            </w:pPr>
          </w:p>
        </w:tc>
        <w:tc>
          <w:tcPr>
            <w:tcW w:w="45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420" w:type="dxa"/>
            <w:vAlign w:val="bottom"/>
            <w:tcBorders>
              <w:bottom w:val="single" w:sz="8" w:color="CCEEFF"/>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Borders>
              <w:bottom w:val="single" w:sz="8" w:color="CCEEFF"/>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rate</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Blended state tax rate</w:t>
            </w: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9"/>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Blended statutory tax rate</w:t>
            </w:r>
          </w:p>
        </w:tc>
        <w:tc>
          <w:tcPr>
            <w:tcW w:w="4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25.12</w:t>
            </w:r>
          </w:p>
        </w:tc>
        <w:tc>
          <w:tcPr>
            <w:tcW w:w="32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26"/>
        </w:trPr>
        <w:tc>
          <w:tcPr>
            <w:tcW w:w="23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Effective Tax Rate Reconciliation for the Year Ended December 31, 2025</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Book Income</w:t>
            </w:r>
          </w:p>
        </w:tc>
        <w:tc>
          <w:tcPr>
            <w:tcW w:w="4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2,397,585</w:t>
            </w:r>
          </w:p>
        </w:tc>
        <w:tc>
          <w:tcPr>
            <w:tcW w:w="320" w:type="dxa"/>
            <w:vAlign w:val="bottom"/>
            <w:shd w:val="clear" w:color="auto" w:fill="CCEEFF"/>
          </w:tcPr>
          <w:p>
            <w:pPr>
              <w:spacing w:after="0"/>
              <w:rPr>
                <w:sz w:val="18"/>
                <w:szCs w:val="18"/>
                <w:color w:val="auto"/>
              </w:rPr>
            </w:pPr>
          </w:p>
        </w:tc>
        <w:tc>
          <w:tcPr>
            <w:tcW w:w="1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37,324</w:t>
            </w: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40" w:type="dxa"/>
            <w:vAlign w:val="bottom"/>
          </w:tcPr>
          <w:p>
            <w:pPr>
              <w:spacing w:after="0"/>
              <w:rPr>
                <w:sz w:val="18"/>
                <w:szCs w:val="18"/>
                <w:color w:val="auto"/>
              </w:rPr>
            </w:pPr>
          </w:p>
        </w:tc>
        <w:tc>
          <w:tcPr>
            <w:tcW w:w="1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7,838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PY Federal Perm True-up</w:t>
            </w:r>
          </w:p>
        </w:tc>
        <w:tc>
          <w:tcPr>
            <w:tcW w:w="4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110,378</w:t>
            </w:r>
          </w:p>
        </w:tc>
        <w:tc>
          <w:tcPr>
            <w:tcW w:w="21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23,179</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4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137,590</w:t>
            </w: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40" w:type="dxa"/>
            <w:vAlign w:val="bottom"/>
          </w:tcPr>
          <w:p>
            <w:pPr>
              <w:spacing w:after="0"/>
              <w:rPr>
                <w:sz w:val="18"/>
                <w:szCs w:val="18"/>
                <w:color w:val="auto"/>
              </w:rPr>
            </w:pPr>
          </w:p>
        </w:tc>
        <w:tc>
          <w:tcPr>
            <w:tcW w:w="1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188,752</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Deferred adjustment</w:t>
            </w:r>
          </w:p>
        </w:tc>
        <w:tc>
          <w:tcPr>
            <w:tcW w:w="4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(30,526)</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Tax Expenses</w:t>
            </w: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80" w:type="dxa"/>
            <w:vAlign w:val="bottom"/>
            <w:vMerge w:val="continue"/>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692,736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38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gridSpan w:val="9"/>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Effective Tax Rate Reconciliation for the Year Ended December 31, 2024</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380" w:type="dxa"/>
            <w:vAlign w:val="bottom"/>
            <w:tcBorders>
              <w:bottom w:val="single" w:sz="8" w:color="CCEEFF"/>
            </w:tcBorders>
          </w:tcPr>
          <w:p>
            <w:pPr>
              <w:spacing w:after="0"/>
              <w:rPr>
                <w:sz w:val="19"/>
                <w:szCs w:val="19"/>
                <w:color w:val="auto"/>
              </w:rPr>
            </w:pPr>
          </w:p>
        </w:tc>
        <w:tc>
          <w:tcPr>
            <w:tcW w:w="4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Book Income</w:t>
            </w:r>
          </w:p>
        </w:tc>
        <w:tc>
          <w:tcPr>
            <w:tcW w:w="4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959,561</w:t>
            </w:r>
          </w:p>
        </w:tc>
        <w:tc>
          <w:tcPr>
            <w:tcW w:w="320" w:type="dxa"/>
            <w:vAlign w:val="bottom"/>
            <w:shd w:val="clear" w:color="auto" w:fill="CCEEFF"/>
          </w:tcPr>
          <w:p>
            <w:pPr>
              <w:spacing w:after="0"/>
              <w:rPr>
                <w:sz w:val="18"/>
                <w:szCs w:val="18"/>
                <w:color w:val="auto"/>
              </w:rPr>
            </w:pPr>
          </w:p>
        </w:tc>
        <w:tc>
          <w:tcPr>
            <w:tcW w:w="1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84,240</w:t>
            </w: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18"/>
                <w:szCs w:val="18"/>
                <w:color w:val="auto"/>
              </w:rPr>
            </w:pPr>
          </w:p>
        </w:tc>
        <w:tc>
          <w:tcPr>
            <w:tcW w:w="1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17,690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PY Federal Perm True-up</w:t>
            </w:r>
          </w:p>
        </w:tc>
        <w:tc>
          <w:tcPr>
            <w:tcW w:w="4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117,653</w:t>
            </w:r>
          </w:p>
        </w:tc>
        <w:tc>
          <w:tcPr>
            <w:tcW w:w="21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24,707</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w:t>
            </w:r>
          </w:p>
        </w:tc>
        <w:tc>
          <w:tcPr>
            <w:tcW w:w="4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68,981</w:t>
            </w:r>
          </w:p>
        </w:tc>
        <w:tc>
          <w:tcPr>
            <w:tcW w:w="2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40" w:type="dxa"/>
            <w:vAlign w:val="bottom"/>
          </w:tcPr>
          <w:p>
            <w:pPr>
              <w:spacing w:after="0"/>
              <w:rPr>
                <w:sz w:val="18"/>
                <w:szCs w:val="18"/>
                <w:color w:val="auto"/>
              </w:rPr>
            </w:pPr>
          </w:p>
        </w:tc>
        <w:tc>
          <w:tcPr>
            <w:tcW w:w="18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65,198</w:t>
            </w: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Deferred adjustment</w:t>
            </w:r>
          </w:p>
        </w:tc>
        <w:tc>
          <w:tcPr>
            <w:tcW w:w="4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(6,989)</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Tax Expenses</w:t>
            </w: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80" w:type="dxa"/>
            <w:vAlign w:val="bottom"/>
            <w:gridSpan w:val="3"/>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380" w:type="dxa"/>
            <w:vAlign w:val="bottom"/>
            <w:vMerge w:val="continue"/>
          </w:tcPr>
          <w:p>
            <w:pPr>
              <w:spacing w:after="0"/>
              <w:rPr>
                <w:sz w:val="19"/>
                <w:szCs w:val="19"/>
                <w:color w:val="auto"/>
              </w:rPr>
            </w:pP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8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302,114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3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3"/>
          </w:tcPr>
          <w:p>
            <w:pPr>
              <w:jc w:val="center"/>
              <w:ind w:left="1710"/>
              <w:spacing w:after="0"/>
              <w:rPr>
                <w:sz w:val="20"/>
                <w:szCs w:val="20"/>
                <w:color w:val="auto"/>
              </w:rPr>
            </w:pPr>
            <w:r>
              <w:rPr>
                <w:rFonts w:ascii="Times New Roman" w:cs="Times New Roman" w:eastAsia="Times New Roman" w:hAnsi="Times New Roman"/>
                <w:sz w:val="18"/>
                <w:szCs w:val="18"/>
                <w:color w:val="auto"/>
                <w:w w:val="99"/>
              </w:rPr>
              <w:t>F-16</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29"/>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 Expense Summary, for the Year Ended December 31, 2025</w:t>
            </w:r>
          </w:p>
        </w:tc>
        <w:tc>
          <w:tcPr>
            <w:tcW w:w="260" w:type="dxa"/>
            <w:vAlign w:val="bottom"/>
          </w:tcPr>
          <w:p>
            <w:pPr>
              <w:spacing w:after="0"/>
              <w:rPr>
                <w:sz w:val="20"/>
                <w:szCs w:val="20"/>
                <w:color w:val="auto"/>
              </w:rPr>
            </w:pPr>
          </w:p>
        </w:tc>
        <w:tc>
          <w:tcPr>
            <w:tcW w:w="18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10"/>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86,863</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19"/>
                <w:szCs w:val="19"/>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137,590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80,056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217,646</w:t>
            </w:r>
          </w:p>
        </w:tc>
      </w:tr>
      <w:tr>
        <w:trPr>
          <w:trHeight w:val="223"/>
        </w:trPr>
        <w:tc>
          <w:tcPr>
            <w:tcW w:w="5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224,453</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468,283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0"/>
        </w:trPr>
        <w:tc>
          <w:tcPr>
            <w:tcW w:w="5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Tax Expense Summary, for the Year Ended December 31, 2024</w:t>
            </w: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Expense</w:t>
            </w: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2"/>
              </w:rPr>
              <w:t>39,989</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193,145</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w:t>
            </w:r>
          </w:p>
        </w:tc>
        <w:tc>
          <w:tcPr>
            <w:tcW w:w="20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18,013</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50,967</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68,980</w:t>
            </w:r>
          </w:p>
        </w:tc>
      </w:tr>
      <w:tr>
        <w:trPr>
          <w:trHeight w:val="223"/>
        </w:trPr>
        <w:tc>
          <w:tcPr>
            <w:tcW w:w="54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170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2"/>
              </w:rPr>
              <w:t>58,002</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as of December 31, 2025 and 2024 were as follows:</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(non-U.S.)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Assets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 of use lease assets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allowance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carry forward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14605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340" w:hanging="1333"/>
        <w:spacing w:after="0"/>
        <w:tabs>
          <w:tab w:leader="none" w:pos="134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520,464</w:t>
      </w:r>
    </w:p>
    <w:p>
      <w:pPr>
        <w:spacing w:after="0" w:line="34"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71,357</w:t>
      </w:r>
    </w:p>
    <w:p>
      <w:pPr>
        <w:spacing w:after="0" w:line="9" w:lineRule="exact"/>
        <w:rPr>
          <w:rFonts w:ascii="Times New Roman" w:cs="Times New Roman" w:eastAsia="Times New Roman" w:hAnsi="Times New Roman"/>
          <w:sz w:val="17"/>
          <w:szCs w:val="17"/>
          <w:color w:val="auto"/>
        </w:rPr>
      </w:pPr>
    </w:p>
    <w:p>
      <w:pPr>
        <w:ind w:left="1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18,143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-130810</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1340" w:hanging="1333"/>
        <w:spacing w:after="0"/>
        <w:tabs>
          <w:tab w:leader="none" w:pos="13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609,964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12172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1">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41910</wp:posOffset>
            </wp:positionV>
            <wp:extent cx="12172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2">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Deferred Tax Assets</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14605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1,574</w:t>
      </w:r>
    </w:p>
    <w:p>
      <w:pPr>
        <w:spacing w:after="0" w:line="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112,518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13335</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495,872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2172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3" w:lineRule="exact"/>
        <w:rPr>
          <w:sz w:val="20"/>
          <w:szCs w:val="20"/>
          <w:color w:val="auto"/>
        </w:rPr>
      </w:pPr>
    </w:p>
    <w:p>
      <w:pPr>
        <w:ind w:left="1340" w:hanging="1333"/>
        <w:spacing w:after="0"/>
        <w:tabs>
          <w:tab w:leader="none" w:pos="13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609,964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12172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6">
                      <a:extLst>
                        <a:ext uri="{28A0092B-C50C-407E-A947-70E740481C1C}"/>
                      </a:extLst>
                    </a:blip>
                    <a:srcRect/>
                    <a:stretch>
                      <a:fillRect/>
                    </a:stretch>
                  </pic:blipFill>
                  <pic:spPr bwMode="auto">
                    <a:xfrm>
                      <a:off x="0" y="0"/>
                      <a:ext cx="12172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41910</wp:posOffset>
            </wp:positionV>
            <wp:extent cx="12172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40" w:right="300" w:hanging="42"/>
        <w:spacing w:after="0" w:line="287" w:lineRule="auto"/>
        <w:rPr>
          <w:sz w:val="20"/>
          <w:szCs w:val="20"/>
          <w:color w:val="auto"/>
        </w:rPr>
      </w:pPr>
      <w:r>
        <w:rPr>
          <w:rFonts w:ascii="Times New Roman" w:cs="Times New Roman" w:eastAsia="Times New Roman" w:hAnsi="Times New Roman"/>
          <w:sz w:val="17"/>
          <w:szCs w:val="17"/>
          <w:b w:val="1"/>
          <w:bCs w:val="1"/>
          <w:color w:val="auto"/>
        </w:rPr>
        <w:t>Deferred Tax Assets December 31, 2024</w:t>
      </w:r>
    </w:p>
    <w:p>
      <w:pPr>
        <w:ind w:left="1320" w:hanging="1312"/>
        <w:spacing w:after="0"/>
        <w:tabs>
          <w:tab w:leader="none" w:pos="1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908,691</w:t>
      </w:r>
    </w:p>
    <w:p>
      <w:pPr>
        <w:spacing w:after="0" w:line="22"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151,413</w:t>
      </w:r>
    </w:p>
    <w:p>
      <w:pPr>
        <w:spacing w:after="0" w:line="9" w:lineRule="exact"/>
        <w:rPr>
          <w:rFonts w:ascii="Times New Roman" w:cs="Times New Roman" w:eastAsia="Times New Roman" w:hAnsi="Times New Roman"/>
          <w:sz w:val="18"/>
          <w:szCs w:val="18"/>
          <w:color w:val="auto"/>
        </w:rPr>
      </w:pPr>
    </w:p>
    <w:p>
      <w:pPr>
        <w:ind w:left="1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84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1" w:lineRule="exact"/>
        <w:rPr>
          <w:sz w:val="20"/>
          <w:szCs w:val="20"/>
          <w:color w:val="auto"/>
        </w:rPr>
      </w:pPr>
    </w:p>
    <w:p>
      <w:pPr>
        <w:ind w:left="1200" w:hanging="1192"/>
        <w:spacing w:after="0"/>
        <w:tabs>
          <w:tab w:leader="none" w:pos="12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084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9">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12084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0">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42" w:lineRule="exact"/>
        <w:rPr>
          <w:sz w:val="20"/>
          <w:szCs w:val="20"/>
          <w:color w:val="auto"/>
        </w:rPr>
      </w:pPr>
    </w:p>
    <w:p>
      <w:pPr>
        <w:ind w:left="240" w:right="300" w:hanging="42"/>
        <w:spacing w:after="0" w:line="287" w:lineRule="auto"/>
        <w:rPr>
          <w:sz w:val="20"/>
          <w:szCs w:val="20"/>
          <w:color w:val="auto"/>
        </w:rPr>
      </w:pPr>
      <w:r>
        <w:rPr>
          <w:rFonts w:ascii="Times New Roman" w:cs="Times New Roman" w:eastAsia="Times New Roman" w:hAnsi="Times New Roman"/>
          <w:sz w:val="17"/>
          <w:szCs w:val="17"/>
          <w:b w:val="1"/>
          <w:bCs w:val="1"/>
          <w:color w:val="auto"/>
        </w:rPr>
        <w:t>Deferred Tax Assets December 31, 2024</w:t>
      </w: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787</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140,743</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918,574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84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1" w:lineRule="exact"/>
        <w:rPr>
          <w:sz w:val="20"/>
          <w:szCs w:val="20"/>
          <w:color w:val="auto"/>
        </w:rPr>
      </w:pPr>
    </w:p>
    <w:p>
      <w:pPr>
        <w:ind w:left="1200" w:hanging="1192"/>
        <w:spacing w:after="0"/>
        <w:tabs>
          <w:tab w:leader="none" w:pos="12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084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12084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260" w:space="720"/>
            <w:col w:w="1920" w:space="320"/>
            <w:col w:w="2020"/>
          </w:cols>
          <w:pgMar w:left="320" w:top="900" w:right="339" w:bottom="1440" w:gutter="0" w:footer="0" w:header="0"/>
          <w:type w:val="continuous"/>
        </w:sectPr>
      </w:pPr>
    </w:p>
    <w:p>
      <w:pPr>
        <w:spacing w:after="0" w:line="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 in the U.S. federal jurisdiction and various state jurisdictions. Based on management’s evaluation, there is no provision necessary for material uncertain tax position for the Company as of December 31, 2025 and 2024.</w:t>
      </w:r>
    </w:p>
    <w:p>
      <w:pPr>
        <w:spacing w:after="0" w:line="162"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reported net operating income of $1,704,849 and $657,447, respectively. The net operating loss carryforward is not subject to any expiration period under federal regulations, while at the state level, the expiration period usually ranges up to 20 years, or there may be no expiration period at all.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to generate sufficient taxable income in future periods against which the deferred tax assets can be utilized. Accordingly, a valuation allowance may not be needed.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10,000,000 shares of preferred stock, $0.0001 par value per share, authorized. The Company did not have any preferred shares issued and outstanding as of December 31, 2025 and 2024. The holders of the preferred stock are entitled to receive dividends, if and when declared by the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had 300,000,000 shares of common stock, $0.0001 par value per share, authorized. As of December 31, 2025 and 2024, there were 35,176,320 and 35,143,460 shares of common stock issued and outstanding,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Share Issuances for Stock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2024, the Company issued 2,139 shares of Company common stock to each of Sam Lai, Maggie Yu, Michael Lenner, Douglas Branch, Alan Gao and Hillary Bui, with a fair market value of $1.4025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29, 2024, the Company issued 2,251 shares of Company common stock to each of Sam Lai, Maggie Yu, Michael Lenner, Douglas Branch, Alan Gao and Hillary Bui, with a fair market value of $1.3330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2024, the Company issued 2,946 shares of Company common stock to each of Sam Lai and Maggie Yu (both of whom are executive officers, directors and significant stockholders of the Company), and Michael Lenner, Douglas Branch, Alan Gao and Hillary Bui (each of whom was a director of the Company as of such date), with a fair market value of $1.0185 per share as compensation for the services as executives or directors of the Company pursuant to the terms of their respective Executive Employment Agreements or Director Agreements with the Company. Subsequently, on July 22, 2024, Mr. Branch resigned his position as a member of the Company’s Board of Directors.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25, 2024, following Mr. Branch’s resignation, the Company issued 6,000 shares of restricted common stock to Mr. Branch as compensation for services rendered.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 2024, the Company issued 2,196 shares of Company common stock to each of Sam Lai, Maggie Yu, Michael Lenner, Alan Gao and Hillary Bui, with a fair market value of $1.3660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2025, the Company issued 1,596 shares of Company common stock to each of Sam Lai, Maggie Yu, Michael Lenner, Alan Gao and Hillary Bui, with a fair market value of $1.8799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 2025, the Company issued 1,750 shares of Company common stock to each of Sam Lai, Maggie Yu, Michael Lenner, Alan Gao and Hillary Bui, with a fair market value of $1.7140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2025, the Company issued 2,275 shares of Company common stock to each of Sam Lai, Maggie Yu, Michael Lenner, Alan Gao and Hillary Bui, with a fair market value of $1.3185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3, 2025, the Company issued 951 shares of Company common stock to each of Sam Lai, Maggie Yu, Michael Lenner, Alan Gao and Hillary Bui, with a fair market value of $3.1530 per share as compensation for the services as executives or directors of the Company pursuant to the terms of their respective Executive Employment Agreements or Director Agreements with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 had no material or significant commitments outstanding.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time-to-time, the Company is subject to various litigation and other claims in the normal course of business. The Company establishes liabilities in connection with legal actions that management deems to be probable and estimable. As of December 31, 2025 and 2024, the Company had no pending legal proceedings. No amounts have been accrued in the audited consolidated financial statements with respect to any such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5, 2026, the Company issued 1,514 shares of Company common stock to each of Sam Lai, Maggie Yu, Michael Lenner, Alan Gao and Hillary Bui, with a fair market value of $1.9815 per share as compensation for the services as executives or directors of the Company pursuant to the terms of their respective Executive Employment Agreements or Director Agreements with the Company.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from the balance sheet date through March 24, 2026, the date at which the financial statements were available to be issued, and determined that, apart from the events mentioned above, there are no other subsequent events to disclose.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8100" w:type="dxa"/>
            <w:vAlign w:val="bottom"/>
            <w:gridSpan w:val="2"/>
          </w:tcPr>
          <w:p>
            <w:pPr>
              <w:ind w:left="2500"/>
              <w:spacing w:after="0"/>
              <w:rPr>
                <w:sz w:val="20"/>
                <w:szCs w:val="20"/>
                <w:color w:val="auto"/>
              </w:rPr>
            </w:pPr>
            <w:r>
              <w:rPr>
                <w:rFonts w:ascii="Times New Roman" w:cs="Times New Roman" w:eastAsia="Times New Roman" w:hAnsi="Times New Roman"/>
                <w:sz w:val="18"/>
                <w:szCs w:val="18"/>
                <w:b w:val="1"/>
                <w:bCs w:val="1"/>
                <w:color w:val="auto"/>
              </w:rPr>
              <w:t>HOUR LOOP, INC.</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24, 2026</w:t>
            </w:r>
          </w:p>
        </w:tc>
        <w:tc>
          <w:tcPr>
            <w:tcW w:w="8100" w:type="dxa"/>
            <w:vAlign w:val="bottom"/>
            <w:gridSpan w:val="2"/>
          </w:tcPr>
          <w:p>
            <w:pPr>
              <w:ind w:left="25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Sam Lai</w:t>
            </w:r>
          </w:p>
        </w:tc>
      </w:tr>
      <w:tr>
        <w:trPr>
          <w:trHeight w:val="191"/>
        </w:trPr>
        <w:tc>
          <w:tcPr>
            <w:tcW w:w="3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 Lai</w:t>
            </w:r>
          </w:p>
        </w:tc>
      </w:tr>
      <w:tr>
        <w:trPr>
          <w:trHeight w:val="234"/>
        </w:trPr>
        <w:tc>
          <w:tcPr>
            <w:tcW w:w="3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tc>
      </w:tr>
      <w:tr>
        <w:trPr>
          <w:trHeight w:val="432"/>
        </w:trPr>
        <w:tc>
          <w:tcPr>
            <w:tcW w:w="3140" w:type="dxa"/>
            <w:vAlign w:val="bottom"/>
          </w:tcPr>
          <w:p>
            <w:pPr>
              <w:spacing w:after="0"/>
              <w:rPr>
                <w:sz w:val="24"/>
                <w:szCs w:val="24"/>
                <w:color w:val="auto"/>
              </w:rPr>
            </w:pPr>
          </w:p>
        </w:tc>
        <w:tc>
          <w:tcPr>
            <w:tcW w:w="8100" w:type="dxa"/>
            <w:vAlign w:val="bottom"/>
            <w:gridSpan w:val="2"/>
          </w:tcPr>
          <w:p>
            <w:pPr>
              <w:ind w:left="1480"/>
              <w:spacing w:after="0"/>
              <w:rPr>
                <w:sz w:val="20"/>
                <w:szCs w:val="20"/>
                <w:color w:val="auto"/>
              </w:rPr>
            </w:pPr>
            <w:r>
              <w:rPr>
                <w:rFonts w:ascii="Times New Roman" w:cs="Times New Roman" w:eastAsia="Times New Roman" w:hAnsi="Times New Roman"/>
                <w:sz w:val="18"/>
                <w:szCs w:val="18"/>
                <w:b w:val="1"/>
                <w:bCs w:val="1"/>
                <w:color w:val="auto"/>
              </w:rPr>
              <w:t>POWER OF ATTORNEY</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person whose signature appears below hereby appoints Sam Lai as attorney-in-fact with full power of substitution to execute in the name and on behalf of the registrant and each such person, individually and in each capacity stated below, one or more amendments to the annual report on Form 10-K, which amendments may make such changes in the report as the attorney-in-fact acting deems appropriate and to file any such amendment to the annual report on Form 10-K with the Securities and Exchange Commission. Pursuant to the requirements of the Securities Exchange Act of 1934, this report has been signed below by the following persons on behalf of the registrant and in the capacities and on the dates indicated.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684"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9970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6">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970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7">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Lai</w:t>
      </w:r>
    </w:p>
    <w:p>
      <w:pPr>
        <w:spacing w:after="0" w:line="200" w:lineRule="exact"/>
        <w:rPr>
          <w:sz w:val="20"/>
          <w:szCs w:val="20"/>
          <w:color w:val="auto"/>
        </w:rPr>
      </w:pPr>
    </w:p>
    <w:p>
      <w:pPr>
        <w:spacing w:after="0" w:line="221" w:lineRule="exact"/>
        <w:rPr>
          <w:sz w:val="20"/>
          <w:szCs w:val="20"/>
          <w:color w:val="auto"/>
        </w:rPr>
      </w:pPr>
    </w:p>
    <w:p>
      <w:pPr>
        <w:ind w:right="800"/>
        <w:spacing w:after="0" w:line="331" w:lineRule="auto"/>
        <w:rPr>
          <w:sz w:val="20"/>
          <w:szCs w:val="20"/>
          <w:color w:val="auto"/>
        </w:rPr>
      </w:pPr>
      <w:r>
        <w:rPr>
          <w:rFonts w:ascii="Times New Roman" w:cs="Times New Roman" w:eastAsia="Times New Roman" w:hAnsi="Times New Roman"/>
          <w:sz w:val="17"/>
          <w:szCs w:val="17"/>
          <w:i w:val="1"/>
          <w:iCs w:val="1"/>
          <w:color w:val="auto"/>
        </w:rPr>
        <w:t xml:space="preserve">/s/ Sau Kuen (Maggie) Yu </w:t>
      </w:r>
      <w:r>
        <w:rPr>
          <w:rFonts w:ascii="Times New Roman" w:cs="Times New Roman" w:eastAsia="Times New Roman" w:hAnsi="Times New Roman"/>
          <w:sz w:val="17"/>
          <w:szCs w:val="17"/>
          <w:color w:val="auto"/>
        </w:rPr>
        <w:t>Sau Kuen (Maggie) Yu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19970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8">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Michael Lenner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9707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9">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Lenner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Minghui (Alan)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19970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Minghui (Alan) Gao</w:t>
      </w:r>
    </w:p>
    <w:p>
      <w:pPr>
        <w:spacing w:after="0" w:line="218" w:lineRule="exact"/>
        <w:rPr>
          <w:sz w:val="20"/>
          <w:szCs w:val="20"/>
          <w:color w:val="auto"/>
        </w:rPr>
      </w:pPr>
    </w:p>
    <w:p>
      <w:pPr>
        <w:ind w:right="700"/>
        <w:spacing w:after="0" w:line="3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Hilary (Hui-Chong) Bui</w:t>
      </w:r>
      <w:r>
        <w:rPr>
          <w:rFonts w:ascii="Times New Roman" w:cs="Times New Roman" w:eastAsia="Times New Roman" w:hAnsi="Times New Roman"/>
          <w:sz w:val="18"/>
          <w:szCs w:val="18"/>
          <w:color w:val="auto"/>
        </w:rPr>
        <w:t xml:space="preserve"> Hilary (Hui-Chong) Bui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9970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07"/>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 Chairman of the</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March 24, 2026</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w:t>
            </w:r>
          </w:p>
        </w:tc>
        <w:tc>
          <w:tcPr>
            <w:tcW w:w="2020" w:type="dxa"/>
            <w:vAlign w:val="bottom"/>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w:t>
            </w:r>
          </w:p>
        </w:tc>
        <w:tc>
          <w:tcPr>
            <w:tcW w:w="2020" w:type="dxa"/>
            <w:vAlign w:val="bottom"/>
          </w:tcPr>
          <w:p>
            <w:pPr>
              <w:spacing w:after="0"/>
              <w:rPr>
                <w:sz w:val="18"/>
                <w:szCs w:val="18"/>
                <w:color w:val="auto"/>
              </w:rPr>
            </w:pPr>
          </w:p>
        </w:tc>
      </w:tr>
      <w:tr>
        <w:trPr>
          <w:trHeight w:val="234"/>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020" w:type="dxa"/>
            <w:vAlign w:val="bottom"/>
          </w:tcPr>
          <w:p>
            <w:pPr>
              <w:spacing w:after="0"/>
              <w:rPr>
                <w:sz w:val="20"/>
                <w:szCs w:val="20"/>
                <w:color w:val="auto"/>
              </w:rPr>
            </w:pPr>
          </w:p>
        </w:tc>
      </w:tr>
      <w:tr>
        <w:trPr>
          <w:trHeight w:val="4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March 24, 2026</w:t>
            </w:r>
          </w:p>
        </w:tc>
      </w:tr>
      <w:tr>
        <w:trPr>
          <w:trHeight w:val="661"/>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March 24, 2026</w:t>
            </w:r>
          </w:p>
        </w:tc>
      </w:tr>
      <w:tr>
        <w:trPr>
          <w:trHeight w:val="66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March 24, 2026</w:t>
            </w:r>
          </w:p>
        </w:tc>
      </w:tr>
      <w:tr>
        <w:trPr>
          <w:trHeight w:val="661"/>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March 24, 2026</w:t>
            </w:r>
          </w:p>
        </w:tc>
      </w:tr>
      <w:tr>
        <w:trPr>
          <w:trHeight w:val="662"/>
        </w:trPr>
        <w:tc>
          <w:tcPr>
            <w:tcW w:w="56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660" w:space="720"/>
            <w:col w:w="7860"/>
          </w:cols>
          <w:pgMar w:left="320" w:top="684" w:right="3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certificate of incorporation, as amended, our bylaws and applicable provisions of law, in each case as currently in effect. This discussion does not purport to be complete and is qualified in its entirety by reference to our certificate of incorporation, as amended, and our bylaws, as amended, copies of which are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24, 2026, our authorized capital stock consists of (i) 300,000,000 shares of common stock, par value $0.0001 per share, and (ii) 10,000,000 shares of preferred stock, par value $0.0001 per share. At March 24, 2026, we had 35,183,890 shares of common stock issued and outstanding and no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either in person or by proxy, at meetings of shareholders. The holders are not permitted to vote their shares cumulatively. Accordingly, the shareholders of our common stock who hold, in the aggregate, more than fifty percent of the total voting rights can elect all of our directors and, in such event, the holders of the remaining minority shares will not be able to elect any of such directors. The vote of the holders of a majority of the issued and outstanding shares of common stock entitled to vote thereon is sufficient to authorize, affirm, ratify or consent to such act or action, except as otherwise provided by law.</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common stock are entitled to receive ratably such dividends, if any, as may be declared by the Board of Directors out of funds legally available. We have not paid any dividends on common stock since our inception, and we presently anticipate that all earnings, if any, will be retained for development of our business. Any future disposition of dividends will be at the discretion of our Board of Directors and will depend upon, among other things, our future earnings, operating and financial condition, capital requirements, and other factors. Holders of our common stock have no preemptive rights or other subscription rights, conversion rights, redemption or sinking fund provisions. Upon our liquidation, dissolution or winding up, the holders of our common stock will be entitled to share ratably in the net assets legally available for distribution to shareholders after the payment of all of our debts and other liabilities. There are not any provisions in our certificate of incorporation or our bylaws that would prevent or delay a change in our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shall have the authority to authorize the issuance of the preferred stock from time to time in one or more classes or series, and to state in the resolution or resolutions from time to time adopted providing for the issuance thereof the following:</w:t>
      </w:r>
    </w:p>
    <w:p>
      <w:pPr>
        <w:spacing w:after="0" w:line="162" w:lineRule="exact"/>
        <w:rPr>
          <w:sz w:val="20"/>
          <w:szCs w:val="20"/>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any series and the designation to distinguish the shares of such series from the shares of all other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and whether such voting powers are full or limited in such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provisions, if any, applicable to such series, including the redemption price or prices to be paid;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if any, will be cumulative or noncumulative, the dividend rate of such series, and the dates and preferences of dividends on such series;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such series upon the voluntary or involuntary dissolution of, or upon any distribution of the assets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jc w:val="both"/>
        <w:ind w:left="980" w:hanging="324"/>
        <w:spacing w:after="0" w:line="266" w:lineRule="auto"/>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pursuant to which the shares of such series are convertible into, or exchangeable for, shares of any other class or classes or of any other series of the same or any other class or classes of stock, or any other security, of the Corporation or any other corporation or other entity, and the rates or other determinants of conversion or exchange applicable thereto;</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subscribe for or to purchase any securities of the Corporation or any other corporation or other entity;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of a sinking fund applicable to such series;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participating, optional, or other special powers, preferences or rights and qualifications, limitations, or restrictions thereof.</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 of each class or series of the preferred stock may vary from the shares of any other class or series thereof in any respect. The Board of Directors may increase the number of shares of the preferred stock designated for any existing class or series by a resolution adding to such class or series authorized and unissued shares of the preferred stock not designated for any existing class or series of the preferred stock and the shares so subtracted shall become authorized, unissued and undesignated shares of the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Exclusive Forum Provision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contains a forum selection clause and Section 7.4 of our bylaws provides that “[u]nless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in the county in which the principal office of the corporation in the State of Delaware is established, in all cases subject to the court’s having personal jurisdiction over the indispensable parties named as defendants. If any action is brought by any party against another party, relating to or arising out of these Bylaws, or the enforcement hereof, the prevailing party shall be entitled to recover from the other party reasonable attorneys’ fees, costs and expenses incurred in connection with the prosecution or defense of such action, provided that the provisions of this sentence shall not apply with respect to “internal corporate claims” as defined in Section 115 of the DGCL or in connection with any other claim that a stockholder, acting in its capacity as a stockholder or in the right of the Corporation, has brought in an action, suit or proceeding…. Notwithstanding the foregoing, the exclusive forum provision will not apply to suits brought to enforce any liability or duty created by the</w:t>
      </w:r>
    </w:p>
    <w:p>
      <w:pPr>
        <w:spacing w:after="0" w:line="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Exchange of 1934, as amended, the Securities Act of 1933, as amended, or any claim for which the federal courts have exclusive or concurrent jurisdiction. Unless the Corporation consents in writing to the selection of an alternative forum, the federal district courts of the United States of America shall be the sole and exclusive forum for the resolution of any complaint asserting a cause of action arising under the Securities Act of 1933, as amended, or the Securities Exchange Act of 1934, as amended, including, in each case, any and all claims brought either directly or derivatively.”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exclusive forum provision may limit a stockholder’s ability to bring a claim in a judicial forum of its choosing for disputes with us or our directors, officers or other employees, which may discourage lawsuits against us or our directors, officers or other employees. In addition, stockholders who do bring a claim in the state or federal court in the State of Delaware could face additional litigation costs in pursuing any such claim, particularly if they do not reside in or near Delaware. The state or federal court of the State of Delaware may also reach different judgments or results than would other courts, including courts where a stockholder would otherwise choose to bring the action, and such judgments or results may be more favorable to us than to our stockholders. However, the enforceability of similar exclusive forum provisions in other companies’ certificates of incorporation have been challenged in legal proceedings, and it is possible that a court could find this type of provision to be inapplicable to, or unenforceable in respect of, one or more of the specified types of actions or proceedings. If a court were to find the exclusive forum provision contained in our certificate of incorporation and our bylaws to be inapplicable or unenforceable in an action, we might incur additional costs associated with resolving such action in other jurisdictions.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Shifting Provision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7.4 of our bylaws provides that “[i]f any action is brought by any party against another party, relating to or arising out of these Bylaws, or the enforcement hereof, the prevailing party shall be entitled to recover from the other party reasonable attorneys’ fees, costs and expenses incurred in connection with the prosecution or defense of such action, provided that the provisions of this sentence shall not apply with respect to “internal corporate claims” as defined in Section 115 of the DGCL or in connection with any other claim that a stockholder, acting in its capacity as a stockholder or in the right of the Corporation, has brought in an action, suit or proceeding.”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bylaws provide that for this section, the term “attorneys’ fees” or “attorneys’ fees and costs” means the fees and expenses of counsel to the Company and any other parties asserting a claim subject to Section 7.4 of the bylaws, which may include printing, photocopying, duplicating and other expenses, air freight charges, and fees billed for law clerks, paralegals and other persons not admitted to the bar but performing services under the supervision of an attorney, and the costs and fees incurred in connection with the enforcement or collection of any judgment obtained in any such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95" w:name="page96"/>
    <w:bookmarkEnd w:id="95"/>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adopted the fee-shifting provision to eliminate or decrease nuisance and frivolous litigation. We intend to apply the fee-shifting provision broadly to all actions except for claims brought under the Exchange Act and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is no set level of recovery required to be met by a plaintiff to avoid payment under this provision. Instead, whoever is the prevailing party is entitled to recover the reasonable attorneys’ fees, costs and expenses incurred in connection with the prosecution or defense of such action. Any party who brings an action, and the party against whom such action is brought under Section 7.4 of our bylaws, which could include, but is not limited to former and current shareholders, Company directors, officers, affiliates, legal counsel, expert witnesses, and other parties, are subject to this provision. Additionally, any party who brings an action, and the party against whom such action is brought under Section 7.4 of our bylaws, which could include, but is not limited to former and current shareholders, Company directors, officers, affiliates, legal counsel, expert witnesses, and other parties, would be able to recover fees under this provision.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you initiate or assert a claim against us, in accordance with the dispute resolution provisions contained in our amended and restated bylaws, and you do not, in a judgment prevail, you will be obligated to reimburse us for all reasonable costs and expenses incurred in connection with such claim, including, but not limited to, reasonable attorney’s fees and expenses and costs of appeal, if any. Additionally, this provision in Section 7.4 of our bylaws could discourage shareholder lawsuits that might otherwise benefit the Company and its shareholders.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FEE SHIFTING PROVISION CONTAINED IN THE BYLAWS IS NOT INTENDED TO BE DEEMED A WAIVER BY ANY HOLDER OF WORTHY COMMUNITY BONDS OF THE COMPANY’S COMPLIANCE WITH THE U.S. FEDERAL SECURITIES LAWS AND THE RULES AND REGULATIONS PROMULGATED THEREUNDER. THE FEE SHIFTING PROVISION CONTAINED IN THE BYLAWS DO NOT APPLY TO CLAIMS BROUGHT UNDER THE EXCHANGE ACT AND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Certain Provisions of Our Certificate of Incorporation, as Amended, and Our Bylaws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Provisions of our certificate of incorporation and our bylaws could make it more difficult to acquire us by means of a merger, tender offer, proxy contest, open market purchases, removal of incumbent directors and otherwise. These provisions, which are summarized below, are expected to discourage types of coercive takeover practices and inadequate takeover bids and to encourage persons seeking to acquire control of us to first negotiate with us. We believe that the benefits of increased protection of our potential ability to negotiate with the proponent of an unfriendly or unsolicited proposal to acquire or restructure us outweigh the disadvantages of discouraging takeover or acquisition proposals because negotiation of these proposals could result in an improvement of their terms.</w:t>
      </w:r>
    </w:p>
    <w:p>
      <w:pPr>
        <w:spacing w:after="0" w:line="18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Our certificate of incorporation and bylaws provide that directors may be removed prior to the expiration of their terms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affirmative vote of the holders of not less than two-thirds (2/3) of the voting power of the issued and outstanding stock entitled to vote.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Our certificate of incorporation and bylaws provide the exclusive right of our board of directors to elect a director to fill a vacancy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by the expansion of the board of directors or the resignation, death, or removal of a director, which prevents stockholders from being able to fill vacancies on our board of directors.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Preferred Stock. </w:t>
      </w:r>
      <w:r>
        <w:rPr>
          <w:rFonts w:ascii="Times New Roman" w:cs="Times New Roman" w:eastAsia="Times New Roman" w:hAnsi="Times New Roman"/>
          <w:sz w:val="18"/>
          <w:szCs w:val="18"/>
          <w:color w:val="auto"/>
        </w:rPr>
        <w:t>Our certificate of incorporation authorizes the issuance of up to 10,000,000 shares of preferred stock with such rights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preferences as may be determined from time to time by our board of directors in their sole discretion. Our board of directors may, without stockholder approval, issue series of preferred stock with dividends, liquidation, conversion, voting or other rights that could adversely affect the voting power or other rights of the holders of our common stock.</w:t>
      </w:r>
    </w:p>
    <w:p>
      <w:pPr>
        <w:spacing w:after="0" w:line="18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 of Bylaws. </w:t>
      </w:r>
      <w:r>
        <w:rPr>
          <w:rFonts w:ascii="Times New Roman" w:cs="Times New Roman" w:eastAsia="Times New Roman" w:hAnsi="Times New Roman"/>
          <w:sz w:val="18"/>
          <w:szCs w:val="18"/>
          <w:color w:val="auto"/>
        </w:rPr>
        <w:t>The certificate of incorporation and bylaws provide that the bylaws may be altered, amended or repealed by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by an affirmative vote of a majority of the Board of Directors at any regular meeting of the Board of Directors.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Limitation of Liability</w:t>
      </w:r>
      <w:r>
        <w:rPr>
          <w:rFonts w:ascii="Times New Roman" w:cs="Times New Roman" w:eastAsia="Times New Roman" w:hAnsi="Times New Roman"/>
          <w:sz w:val="18"/>
          <w:szCs w:val="18"/>
          <w:color w:val="auto"/>
        </w:rPr>
        <w:t>. The certificate of incorporation provides for the limitation of liability of, and providing indemnification to, our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officers.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Special Stockholders Meeting</w:t>
      </w:r>
      <w:r>
        <w:rPr>
          <w:rFonts w:ascii="Times New Roman" w:cs="Times New Roman" w:eastAsia="Times New Roman" w:hAnsi="Times New Roman"/>
          <w:sz w:val="18"/>
          <w:szCs w:val="18"/>
          <w:color w:val="auto"/>
        </w:rPr>
        <w:t>. The certificate of incorporation provides that a special meeting of the stockholders may only be called by a majority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board of directors.</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Nominations of Directors</w:t>
      </w:r>
      <w:r>
        <w:rPr>
          <w:rFonts w:ascii="Times New Roman" w:cs="Times New Roman" w:eastAsia="Times New Roman" w:hAnsi="Times New Roman"/>
          <w:sz w:val="18"/>
          <w:szCs w:val="18"/>
          <w:color w:val="auto"/>
        </w:rPr>
        <w:t>. The bylaws provide for advance notice procedures that stockholders must comply with in order to nominate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our board of directors or to propose matters to be acted upon at a stockholders’ meeting, which may discourage or deter a potential acquirer from conducting a solicitation of proxies to elect the acquirer’s own slate of directors or otherwise attempting to obtain control of the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Nevada Agency and Transfer Company. The transfer agent’s address is 50 West Liberty Street, Suite 880, Reno, Nevada 89501. The transfer agent’s telephone (775) 322-0626.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This SECOND AMENDMENT TO LOAN AGREEMENT (the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29"/>
          <w:szCs w:val="29"/>
          <w:u w:val="single" w:color="auto"/>
          <w:color w:val="auto"/>
          <w:vertAlign w:val="superscript"/>
        </w:rPr>
        <w:t>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on December 24, 2024, by and among Hour Loop, Inc (the “Borrower”), Sam Lai, and Sau Kuen Yu (together as “Lenders”). Borrower and Lenders shall collectively be known herein as the “Parties”.</w:t>
      </w:r>
    </w:p>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entered into a Loan Agreement, dated as of October 25, 2019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Lenders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grant to the Borrower a loan (the “Loan”) of estimated amount to be $4,038,208; and</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principal amount is then determined to be $4,170,418. The accrued and unpaid interest amount is $120,002.92 (the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as of December 31, 2022; and</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entered into an AMENDMENT TO LOAN AGREEMENT, dated as of December 28, 2022 (the “Amendment”)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tenor of 2 year, pursuant to which the principal amount, $4,170,418, should be payable as of December 31, 2024; and</w:t>
      </w:r>
    </w:p>
    <w:p>
      <w:pPr>
        <w:spacing w:after="0" w:line="155"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principal repayment is then determined to be $1,000,000 and the accrued and unpaid interest amount is $229,372.99 as of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2024, in which the Lenders agreed the deposits from the Borrower could be settled before January 31,2025 subject to the Borrower’s normal cash reserve as Amendment states; and</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agreed to modify certain terms and conditions in the Amendment subject to the Borrower’s expansion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expiring of Amendment.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it is agreed as follows:</w:t>
      </w:r>
    </w:p>
    <w:p>
      <w:pPr>
        <w:spacing w:after="0" w:line="229"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Except as otherwise expressly defined herein, all terms used herein shall have the meanings ascribed thereto in the Agreement.</w:t>
      </w:r>
    </w:p>
    <w:p>
      <w:pPr>
        <w:spacing w:after="0" w:line="20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29"/>
          <w:szCs w:val="29"/>
          <w:u w:val="single" w:color="auto"/>
          <w:color w:val="auto"/>
          <w:vertAlign w:val="superscript"/>
        </w:rPr>
        <w:t>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parties hereto expressly agree that the terms and conditions of the Agreement be amended as follows:</w:t>
      </w:r>
    </w:p>
    <w:p>
      <w:pPr>
        <w:spacing w:after="0" w:line="77"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The Principal Amount of the Loan $3,170,418.</w:t>
      </w:r>
    </w:p>
    <w:p>
      <w:pPr>
        <w:spacing w:after="0" w:line="22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Tenor: The tenor of the Loan is 1 year, starting from January 1, 2025, with the Maturity Date as December 31, 2025.</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Installment Repayments: The Principal Amount will be repayable in full by Four-times Quarterly Installment Repayments as followed as of the Maturity Date.</w:t>
      </w:r>
    </w:p>
    <w:p>
      <w:pPr>
        <w:spacing w:after="0" w:line="9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6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Quarterly Installment Repayments: $1,000,000 as of March 31, 2025</w:t>
      </w:r>
    </w:p>
    <w:p>
      <w:pPr>
        <w:ind w:left="1300" w:hanging="320"/>
        <w:spacing w:after="0" w:line="191" w:lineRule="auto"/>
        <w:tabs>
          <w:tab w:leader="none" w:pos="1300" w:val="left"/>
        </w:tabs>
        <w:numPr>
          <w:ilvl w:val="2"/>
          <w:numId w:val="6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5"/>
          <w:szCs w:val="15"/>
          <w:color w:val="auto"/>
        </w:rPr>
        <w:t xml:space="preserve"> Quarterly Installment Repayments: $1,000,000 as of June 30, 2025</w:t>
      </w:r>
    </w:p>
    <w:p>
      <w:pPr>
        <w:ind w:left="1300" w:hanging="320"/>
        <w:spacing w:after="0" w:line="180" w:lineRule="auto"/>
        <w:tabs>
          <w:tab w:leader="none" w:pos="1300" w:val="left"/>
        </w:tabs>
        <w:numPr>
          <w:ilvl w:val="2"/>
          <w:numId w:val="6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4"/>
          <w:szCs w:val="14"/>
          <w:color w:val="auto"/>
        </w:rPr>
        <w:t xml:space="preserve"> Quarterly Installment Repayments: $1,000,000 as of September 30, 2025</w:t>
      </w:r>
    </w:p>
    <w:p>
      <w:pPr>
        <w:ind w:left="1300" w:hanging="320"/>
        <w:spacing w:after="0"/>
        <w:tabs>
          <w:tab w:leader="none" w:pos="1300"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Quarterly Installment Repayments: the balance of Principal Amount as of Maturity Date</w:t>
      </w:r>
    </w:p>
    <w:p>
      <w:pPr>
        <w:spacing w:after="0" w:line="20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Parties agree to discuss quarterly and make reasonable efforts, subject to the Borrower’s normal cash reserve and expansion plan (if any), to explore the possibility of early or delayed repayments.</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ind w:left="980" w:hanging="324"/>
        <w:spacing w:after="0"/>
        <w:tabs>
          <w:tab w:leader="none" w:pos="9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The Loan shall bear interest at an annual rate of five-point-five percent (5.5%) simple interest. Interest shall be paid annually.</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Parties agree to discuss annually and make reasonable efforts, subject to the Borrower’s normal cash reserve and expansion plan (if any), to explore the possibility of early or delayed repayment.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 Reference.</w:t>
      </w:r>
      <w:r>
        <w:rPr>
          <w:rFonts w:ascii="Times New Roman" w:cs="Times New Roman" w:eastAsia="Times New Roman" w:hAnsi="Times New Roman"/>
          <w:sz w:val="18"/>
          <w:szCs w:val="18"/>
          <w:color w:val="auto"/>
        </w:rPr>
        <w:t xml:space="preserve"> The Agreement as amended hereby shall, from and after the date hereof, be read as a single integrated document incorporating the amendments effected hereby and each reference to the terms, “Agreement”, “hereof”, “hereunder” and words of similar import contained in the Agreement shall, as applicable, from and after the date hereof, be deemed to be references to the Agreement, as amended by this Amendment and each such reference (and each reference to the term “Agreement”) in all other documents related thereto shall be deemed to be a reference to the Agreement as amended hereby.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Agreement as mended by this Amendment constitutes the complete and exclusive understanding and agreement between the parties regarding its subject matter and supersedes all prior or contemporaneous agreements or understandings, whether written or oral, relating to its subject matter. If there is any inconsistency or ambiguity between this Amendment and the MOU, this Amendment shall prevail.</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interpreted in accordance with, the laws of the State of Washington.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Effect</w:t>
      </w:r>
      <w:r>
        <w:rPr>
          <w:rFonts w:ascii="Times New Roman" w:cs="Times New Roman" w:eastAsia="Times New Roman" w:hAnsi="Times New Roman"/>
          <w:sz w:val="18"/>
          <w:szCs w:val="18"/>
          <w:color w:val="auto"/>
        </w:rPr>
        <w:t>. The terms and conditions of the Agreement, except as expressly amended, supplemented and modified herein, shall remain unchanged and in full force and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on the date first above written.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Borrower’s Signature:</w:t>
            </w:r>
          </w:p>
        </w:tc>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/s/ Sam Lai</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Print:</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Hour Loop, Inc.</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w w:val="97"/>
              </w:rPr>
              <w:t>12/31/2024</w:t>
            </w:r>
          </w:p>
        </w:tc>
      </w:tr>
      <w:tr>
        <w:trPr>
          <w:trHeight w:val="20"/>
        </w:trPr>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425"/>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Lender’s Signature:</w:t>
            </w:r>
          </w:p>
        </w:tc>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/s/ Sam Lai</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Print:</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Sam Lai</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w w:val="97"/>
              </w:rPr>
              <w:t>12/31/2024</w:t>
            </w:r>
          </w:p>
        </w:tc>
      </w:tr>
      <w:tr>
        <w:trPr>
          <w:trHeight w:val="20"/>
        </w:trPr>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42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Lender’s Signature:</w:t>
            </w:r>
          </w:p>
        </w:tc>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8"/>
                <w:szCs w:val="18"/>
                <w:i w:val="1"/>
                <w:iCs w:val="1"/>
                <w:color w:val="auto"/>
              </w:rPr>
              <w:t>/s/ Sau Kuen Yu</w:t>
            </w:r>
          </w:p>
        </w:tc>
        <w:tc>
          <w:tcPr>
            <w:tcW w:w="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Print:</w:t>
            </w: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Sau Kuen Yu</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w w:val="97"/>
              </w:rPr>
              <w:t>12/31/2024</w:t>
            </w:r>
          </w:p>
        </w:tc>
      </w:tr>
      <w:tr>
        <w:trPr>
          <w:trHeight w:val="20"/>
        </w:trPr>
        <w:tc>
          <w:tcPr>
            <w:tcW w:w="1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1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This THIRD AMENDMENT TO LOAN AGREEMENT (the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29"/>
          <w:szCs w:val="29"/>
          <w:u w:val="single" w:color="auto"/>
          <w:color w:val="auto"/>
          <w:vertAlign w:val="superscript"/>
        </w:rPr>
        <w:t>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is made on December 22, 2025, by and among Hour Loop, Inc (the “Borrower”), Sam Lai, and Sau Kuen Yu (together as “Lenders”). Borrower and Lenders shall collectively be known herein as the “Parties”.</w:t>
      </w:r>
    </w:p>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entered into a Loan Agreement, dated as of October 25, 2019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pursuant to which the Lenders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to grant to the Borrower a loan (the “Loan”) of estimated amount to be $4,038,208; and</w:t>
      </w:r>
    </w:p>
    <w:p>
      <w:pPr>
        <w:spacing w:after="0" w:line="15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principal amount is then determined to be $4,170,418. The accrued and unpaid interest amount is $120,002.92 (the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as of December 31, 2022; and</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entered into an AMENDMENT TO LOAN AGREEMENT, dated as of December 28, 2022 (the “Amendment”)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tenor of 2 year, pursuant to which the principal amount, $4,170,418, should be payable as of December 31, 2024; and</w:t>
      </w:r>
    </w:p>
    <w:p>
      <w:pPr>
        <w:spacing w:after="0" w:line="155"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principal repayment is then determined to be $1,000,000 and the accrued and unpaid interest amount is $229,372.99 as of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2024, in which the Lenders agreed the deposits from the Borrower could be settled before January 31,2025 subject to the Borrower’s normal cash reserve as Amendment states; and</w:t>
      </w:r>
    </w:p>
    <w:p>
      <w:pPr>
        <w:spacing w:after="0" w:line="17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entered into a SECOND AMENDMENT TO LOAN AGREEMENT, dated as of December 24, 2024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with agreed tenor of 1 year, pursuant to which the principal amount, $3,170,418, should be payable as of December 31, 2025; and</w:t>
      </w:r>
    </w:p>
    <w:p>
      <w:pPr>
        <w:spacing w:after="0" w:line="19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agreed to modify certain terms and conditions in the Amendment subject to the Borrower’s expansion plan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expiring of Amendment.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it is agreed as follows:</w:t>
      </w:r>
    </w:p>
    <w:p>
      <w:pPr>
        <w:spacing w:after="0" w:line="229"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Except as otherwise expressly defined herein, all terms used herein shall have the meanings ascribed thereto in the Agreement.</w:t>
      </w:r>
    </w:p>
    <w:p>
      <w:pPr>
        <w:spacing w:after="0" w:line="20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29"/>
          <w:szCs w:val="29"/>
          <w:u w:val="single" w:color="auto"/>
          <w:color w:val="auto"/>
          <w:vertAlign w:val="superscript"/>
        </w:rPr>
        <w:t>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parties hereto expressly agree that the terms and conditions of the Agreement be amended as follows:</w:t>
      </w:r>
    </w:p>
    <w:p>
      <w:pPr>
        <w:spacing w:after="0" w:line="77"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The Principal Amount of the Loan $ 2,660,418.</w:t>
      </w:r>
    </w:p>
    <w:p>
      <w:pPr>
        <w:spacing w:after="0" w:line="22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Tenor: The tenor of the Loan is 1 year, starting from January 1, 2026, with the Maturity Date as December 31, 2026.</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Installment Repayments: The Principal Amount will be repayable in full by at least Three-times Monthly Installment Repayments as followed as of the Maturity Date.</w:t>
      </w:r>
    </w:p>
    <w:p>
      <w:pPr>
        <w:spacing w:after="0" w:line="6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6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Monthly Installment Repayments: $1,000,000 as of January 31, 2026</w:t>
      </w:r>
    </w:p>
    <w:p>
      <w:pPr>
        <w:ind w:left="1300" w:hanging="320"/>
        <w:spacing w:after="0" w:line="180" w:lineRule="auto"/>
        <w:tabs>
          <w:tab w:leader="none" w:pos="1300" w:val="left"/>
        </w:tabs>
        <w:numPr>
          <w:ilvl w:val="2"/>
          <w:numId w:val="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4"/>
          <w:szCs w:val="14"/>
          <w:color w:val="auto"/>
        </w:rPr>
        <w:t xml:space="preserve"> Monthly Installment Repayments: $1,000,000 as of February 28, 2026</w:t>
      </w:r>
    </w:p>
    <w:p>
      <w:pPr>
        <w:ind w:left="1300" w:hanging="320"/>
        <w:spacing w:after="0"/>
        <w:tabs>
          <w:tab w:leader="none" w:pos="130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 Monthly Installment Repayments: the balance of Principal Amount as of Maturity Date</w:t>
      </w:r>
    </w:p>
    <w:p>
      <w:pPr>
        <w:spacing w:after="0" w:line="205"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Parties agree to discuss quarterly and make reasonable efforts, subject to the Borrower’s normal cash reserve and expansion plan (if any), to explore the possibility of early or delayed repayments.</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ind w:left="980" w:hanging="324"/>
        <w:spacing w:after="0"/>
        <w:tabs>
          <w:tab w:leader="none" w:pos="98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The Loan shall bear interest at an annual rate of five-point-five percent (4.75%) simple interest. Interest shall be paid annually.</w:t>
      </w:r>
    </w:p>
    <w:p>
      <w:pPr>
        <w:spacing w:after="0" w:line="225" w:lineRule="exact"/>
        <w:rPr>
          <w:rFonts w:ascii="Times New Roman" w:cs="Times New Roman" w:eastAsia="Times New Roman" w:hAnsi="Times New Roman"/>
          <w:sz w:val="18"/>
          <w:szCs w:val="18"/>
          <w:color w:val="auto"/>
        </w:rPr>
      </w:pPr>
    </w:p>
    <w:p>
      <w:pPr>
        <w:ind w:left="9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Parties agree to discuss annually and make reasonable efforts, subject to the Borrower’s normal cash reserve and expansion plan (if any), to explore the possibility of early or delayed repayment.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 Reference.</w:t>
      </w:r>
      <w:r>
        <w:rPr>
          <w:rFonts w:ascii="Times New Roman" w:cs="Times New Roman" w:eastAsia="Times New Roman" w:hAnsi="Times New Roman"/>
          <w:sz w:val="18"/>
          <w:szCs w:val="18"/>
          <w:color w:val="auto"/>
        </w:rPr>
        <w:t xml:space="preserve"> The Agreement as amended hereby shall, from and after the date hereof, be read as a single integrated document incorporating the amendments effected hereby and each reference to the terms, “Agreement”, “hereof”, “hereunder” and words of similar import contained in the Agreement shall, as applicable, from and after the date hereof, be deemed to be references to the Agreement, as amended by this Amendment and each such reference (and each reference to the term “Agreement”) in all other documents related thereto shall be deemed to be a reference to the Agreement as amended hereby.</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Agreement as mended by this Amendment constitutes the complete and exclusive understanding and agreement between the parties regarding its subject matter and supersedes all prior or contemporaneous agreements or understandings, whether written or oral, relating to its subject matter. If there is any inconsistency or ambiguity between this Amendment and the MOU, this Amendment shall prevail.</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interpreted in accordance with, the laws of the State of Washington.</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Effect</w:t>
      </w:r>
      <w:r>
        <w:rPr>
          <w:rFonts w:ascii="Times New Roman" w:cs="Times New Roman" w:eastAsia="Times New Roman" w:hAnsi="Times New Roman"/>
          <w:sz w:val="18"/>
          <w:szCs w:val="18"/>
          <w:color w:val="auto"/>
        </w:rPr>
        <w:t>. The terms and conditions of the Agreement, except as expressly amended, supplemented and modified herein, shall remain unchanged and in full force and effect.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on the date first above written.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Borrower’s Signature:</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Sam Lai</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Print:</w:t>
            </w:r>
          </w:p>
        </w:tc>
        <w:tc>
          <w:tcPr>
            <w:tcW w:w="80" w:type="dxa"/>
            <w:vAlign w:val="bottom"/>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Hour Loop, Inc.</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Borders>
              <w:bottom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w w:val="97"/>
              </w:rPr>
              <w:t>12/26/2025</w:t>
            </w:r>
          </w:p>
        </w:tc>
      </w:tr>
      <w:tr>
        <w:trPr>
          <w:trHeight w:val="42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Lender’s Signature:</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Sam Lai</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Print:</w:t>
            </w:r>
          </w:p>
        </w:tc>
        <w:tc>
          <w:tcPr>
            <w:tcW w:w="8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Sam Lai</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Borders>
              <w:bottom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w w:val="97"/>
              </w:rPr>
              <w:t>12/26/2025</w:t>
            </w:r>
          </w:p>
        </w:tc>
      </w:tr>
      <w:tr>
        <w:trPr>
          <w:trHeight w:val="42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Lender’s Signature:</w:t>
            </w:r>
          </w:p>
        </w:tc>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Sau Kuen Yu</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Print:</w:t>
            </w:r>
          </w:p>
        </w:tc>
        <w:tc>
          <w:tcPr>
            <w:tcW w:w="80" w:type="dxa"/>
            <w:vAlign w:val="bottom"/>
          </w:tcPr>
          <w:p>
            <w:pPr>
              <w:spacing w:after="0"/>
              <w:rPr>
                <w:sz w:val="24"/>
                <w:szCs w:val="24"/>
                <w:color w:val="auto"/>
              </w:rPr>
            </w:pPr>
          </w:p>
        </w:tc>
        <w:tc>
          <w:tcPr>
            <w:tcW w:w="3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Sau Kuen Yu</w:t>
            </w:r>
          </w:p>
        </w:tc>
        <w:tc>
          <w:tcPr>
            <w:tcW w:w="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Borders>
              <w:bottom w:val="single" w:sz="8" w:color="auto"/>
            </w:tcBorders>
          </w:tcPr>
          <w:p>
            <w:pPr>
              <w:jc w:val="right"/>
              <w:ind w:right="1670"/>
              <w:spacing w:after="0"/>
              <w:rPr>
                <w:sz w:val="20"/>
                <w:szCs w:val="20"/>
                <w:color w:val="auto"/>
              </w:rPr>
            </w:pPr>
            <w:r>
              <w:rPr>
                <w:rFonts w:ascii="Times New Roman" w:cs="Times New Roman" w:eastAsia="Times New Roman" w:hAnsi="Times New Roman"/>
                <w:sz w:val="18"/>
                <w:szCs w:val="18"/>
                <w:color w:val="auto"/>
                <w:w w:val="97"/>
              </w:rPr>
              <w:t>12/26/2025</w:t>
            </w:r>
          </w:p>
        </w:tc>
      </w:tr>
    </w:tbl>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68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32"/>
        </w:trPr>
        <w:tc>
          <w:tcPr>
            <w:tcW w:w="4400" w:type="dxa"/>
            <w:vAlign w:val="bottom"/>
            <w:tcBorders>
              <w:bottom w:val="single" w:sz="8" w:color="auto"/>
            </w:tcBorders>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 or Organization</w:t>
            </w:r>
          </w:p>
        </w:tc>
      </w:tr>
      <w:tr>
        <w:trPr>
          <w:trHeight w:val="228"/>
        </w:trPr>
        <w:tc>
          <w:tcPr>
            <w:tcW w:w="44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Flywheel Consulting Limited</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Kaohsiung City, Taiwan</w:t>
            </w:r>
          </w:p>
        </w:tc>
      </w:tr>
      <w:tr>
        <w:trPr>
          <w:trHeight w:val="414"/>
        </w:trPr>
        <w:tc>
          <w:tcPr>
            <w:tcW w:w="4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Lai, certify that:</w:t>
      </w:r>
    </w:p>
    <w:p>
      <w:pPr>
        <w:spacing w:after="0" w:line="225" w:lineRule="exact"/>
        <w:rPr>
          <w:sz w:val="20"/>
          <w:szCs w:val="20"/>
          <w:color w:val="auto"/>
        </w:rPr>
      </w:pPr>
    </w:p>
    <w:p>
      <w:pPr>
        <w:ind w:left="180" w:hanging="172"/>
        <w:spacing w:after="0"/>
        <w:tabs>
          <w:tab w:leader="none" w:pos="1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Hour Loop,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Lai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Lai, certify that:</w:t>
      </w:r>
    </w:p>
    <w:p>
      <w:pPr>
        <w:spacing w:after="0" w:line="225" w:lineRule="exact"/>
        <w:rPr>
          <w:sz w:val="20"/>
          <w:szCs w:val="20"/>
          <w:color w:val="auto"/>
        </w:rPr>
      </w:pPr>
    </w:p>
    <w:p>
      <w:pPr>
        <w:ind w:left="180" w:hanging="172"/>
        <w:spacing w:after="0"/>
        <w:tabs>
          <w:tab w:leader="none" w:pos="1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 of Hour Loop,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8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Sam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Lai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Hour Loop, Inc. (the “Company”) for the fiscal year ended December 31, 2025 as filed with the Securities and Exchange Commission (the “Report”), I, Sam Lai, Chief Executive Officer and Interim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840" w:hanging="184"/>
        <w:spacing w:after="0"/>
        <w:tabs>
          <w:tab w:leader="none" w:pos="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24,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Sam Lai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Sam Lai</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 (principal</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 and principal financial officer)</w:t>
            </w: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certification accompanies this Annual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1."/>
      <w:numFmt w:val="lowerRoman"/>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decimal"/>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lowerRoman"/>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
      <w:numFmt w:val="bullet"/>
      <w:start w:val="1"/>
    </w:lvl>
    <w:lvl w:ilvl="1">
      <w:lvlJc w:val="left"/>
      <w:lvlText w:val="(%2)"/>
      <w:numFmt w:val="decimal"/>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lowerLetter"/>
      <w:start w:val="1"/>
    </w:lvl>
  </w:abstractNum>
  <w:abstractNum w:abstractNumId="49">
    <w:nsid w:val="741226BB"/>
    <w:multiLevelType w:val="hybridMultilevel"/>
    <w:lvl w:ilvl="0">
      <w:lvlJc w:val="left"/>
      <w:lvlText w:val="(%1)"/>
      <w:numFmt w:val="decimal"/>
      <w:start w:val="2"/>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1."/>
      <w:numFmt w:val="lowerRoman"/>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
      <w:numFmt w:val="bullet"/>
      <w:start w:val="1"/>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lowerLetter"/>
      <w:start w:val="6"/>
    </w:lvl>
  </w:abstractNum>
  <w:abstractNum w:abstractNumId="61">
    <w:nsid w:val="1DBABF0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2">
    <w:nsid w:val="4AD084E9"/>
    <w:multiLevelType w:val="hybridMultilevel"/>
    <w:lvl w:ilvl="0">
      <w:lvlJc w:val="left"/>
      <w:lvlText w:val="%1"/>
      <w:numFmt w:val="decimal"/>
      <w:start w:val="1"/>
    </w:lvl>
    <w:lvl w:ilvl="1">
      <w:lvlJc w:val="left"/>
      <w:lvlText w:val="(%2)"/>
      <w:numFmt w:val="decimal"/>
      <w:start w:val="4"/>
    </w:lvl>
  </w:abstractNum>
  <w:abstractNum w:abstractNumId="63">
    <w:nsid w:val="1F48EAA1"/>
    <w:multiLevelType w:val="hybridMultilevel"/>
    <w:lvl w:ilvl="0">
      <w:lvlJc w:val="left"/>
      <w:lvlText w:val="%1."/>
      <w:numFmt w:val="decimal"/>
      <w:start w:val="3"/>
    </w:lvl>
    <w:lvl w:ilvl="1">
      <w:lvlJc w:val="left"/>
      <w:lvlText w:val="%2"/>
      <w:numFmt w:val="decimal"/>
      <w:start w:val="1"/>
    </w:lvl>
  </w:abstractNum>
  <w:abstractNum w:abstractNumId="64">
    <w:nsid w:val="138182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5">
    <w:nsid w:val="5DB70AE5"/>
    <w:multiLevelType w:val="hybridMultilevel"/>
    <w:lvl w:ilvl="0">
      <w:lvlJc w:val="left"/>
      <w:lvlText w:val="%1"/>
      <w:numFmt w:val="decimal"/>
      <w:start w:val="1"/>
    </w:lvl>
    <w:lvl w:ilvl="1">
      <w:lvlJc w:val="left"/>
      <w:lvlText w:val="(%2)"/>
      <w:numFmt w:val="decimal"/>
      <w:start w:val="4"/>
    </w:lvl>
  </w:abstractNum>
  <w:abstractNum w:abstractNumId="66">
    <w:nsid w:val="100F8FCA"/>
    <w:multiLevelType w:val="hybridMultilevel"/>
    <w:lvl w:ilvl="0">
      <w:lvlJc w:val="left"/>
      <w:lvlText w:val="%1."/>
      <w:numFmt w:val="decimal"/>
      <w:start w:val="3"/>
    </w:lvl>
    <w:lvl w:ilvl="1">
      <w:lvlJc w:val="left"/>
      <w:lvlText w:val="%2"/>
      <w:numFmt w:val="decimal"/>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16" Type="http://schemas.openxmlformats.org/officeDocument/2006/relationships/image" Target="media/image78.png"/><Relationship Id="rId117" Type="http://schemas.openxmlformats.org/officeDocument/2006/relationships/image" Target="media/image79.png"/><Relationship Id="rId118" Type="http://schemas.openxmlformats.org/officeDocument/2006/relationships/image" Target="media/image80.png"/><Relationship Id="rId119" Type="http://schemas.openxmlformats.org/officeDocument/2006/relationships/image" Target="media/image81.png"/><Relationship Id="rId120" Type="http://schemas.openxmlformats.org/officeDocument/2006/relationships/image" Target="media/image82.png"/><Relationship Id="rId121" Type="http://schemas.openxmlformats.org/officeDocument/2006/relationships/image" Target="media/image83.png"/><Relationship Id="rId122" Type="http://schemas.openxmlformats.org/officeDocument/2006/relationships/image" Target="media/image84.png"/><Relationship Id="rId123" Type="http://schemas.openxmlformats.org/officeDocument/2006/relationships/image" Target="media/image85.png"/><Relationship Id="rId124" Type="http://schemas.openxmlformats.org/officeDocument/2006/relationships/image" Target="media/image86.png"/><Relationship Id="rId125"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28" Type="http://schemas.openxmlformats.org/officeDocument/2006/relationships/image" Target="media/image90.png"/><Relationship Id="rId129" Type="http://schemas.openxmlformats.org/officeDocument/2006/relationships/image" Target="media/image91.png"/><Relationship Id="rId130" Type="http://schemas.openxmlformats.org/officeDocument/2006/relationships/image" Target="media/image92.png"/><Relationship Id="rId131" Type="http://schemas.openxmlformats.org/officeDocument/2006/relationships/image" Target="media/image93.png"/><Relationship Id="rId132" Type="http://schemas.openxmlformats.org/officeDocument/2006/relationships/image" Target="media/image94.png"/><Relationship Id="rId133" Type="http://schemas.openxmlformats.org/officeDocument/2006/relationships/image" Target="media/image95.png"/><Relationship Id="rId134" Type="http://schemas.openxmlformats.org/officeDocument/2006/relationships/image" Target="media/image96.png"/><Relationship Id="rId135" Type="http://schemas.openxmlformats.org/officeDocument/2006/relationships/image" Target="media/image97.png"/><Relationship Id="rId136" Type="http://schemas.openxmlformats.org/officeDocument/2006/relationships/image" Target="media/image98.png"/><Relationship Id="rId137" Type="http://schemas.openxmlformats.org/officeDocument/2006/relationships/image" Target="media/image99.png"/><Relationship Id="rId138" Type="http://schemas.openxmlformats.org/officeDocument/2006/relationships/image" Target="media/image100.png"/><Relationship Id="rId139" Type="http://schemas.openxmlformats.org/officeDocument/2006/relationships/image" Target="media/image101.png"/><Relationship Id="rId140" Type="http://schemas.openxmlformats.org/officeDocument/2006/relationships/image" Target="media/image102.png"/><Relationship Id="rId141" Type="http://schemas.openxmlformats.org/officeDocument/2006/relationships/image" Target="media/image103.png"/><Relationship Id="rId142" Type="http://schemas.openxmlformats.org/officeDocument/2006/relationships/image" Target="media/image104.png"/><Relationship Id="rId143" Type="http://schemas.openxmlformats.org/officeDocument/2006/relationships/image" Target="media/image105.png"/><Relationship Id="rId144" Type="http://schemas.openxmlformats.org/officeDocument/2006/relationships/image" Target="media/image106.png"/><Relationship Id="rId145" Type="http://schemas.openxmlformats.org/officeDocument/2006/relationships/image" Target="media/image107.png"/><Relationship Id="rId146" Type="http://schemas.openxmlformats.org/officeDocument/2006/relationships/image" Target="media/image108.png"/><Relationship Id="rId147" Type="http://schemas.openxmlformats.org/officeDocument/2006/relationships/image" Target="media/image109.png"/><Relationship Id="rId148" Type="http://schemas.openxmlformats.org/officeDocument/2006/relationships/image" Target="media/image110.png"/><Relationship Id="rId149" Type="http://schemas.openxmlformats.org/officeDocument/2006/relationships/image" Target="media/image111.png"/><Relationship Id="rId150"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54"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57" Type="http://schemas.openxmlformats.org/officeDocument/2006/relationships/image" Target="media/image119.png"/><Relationship Id="rId158" Type="http://schemas.openxmlformats.org/officeDocument/2006/relationships/image" Target="media/image120.png"/><Relationship Id="rId159" Type="http://schemas.openxmlformats.org/officeDocument/2006/relationships/image" Target="media/image121.png"/><Relationship Id="rId160" Type="http://schemas.openxmlformats.org/officeDocument/2006/relationships/image" Target="media/image122.png"/><Relationship Id="rId161" Type="http://schemas.openxmlformats.org/officeDocument/2006/relationships/image" Target="media/image123.png"/><Relationship Id="rId162" Type="http://schemas.openxmlformats.org/officeDocument/2006/relationships/image" Target="media/image124.png"/><Relationship Id="rId163" Type="http://schemas.openxmlformats.org/officeDocument/2006/relationships/image" Target="media/image125.png"/><Relationship Id="rId164" Type="http://schemas.openxmlformats.org/officeDocument/2006/relationships/image" Target="media/image126.png"/><Relationship Id="rId85" Type="http://schemas.openxmlformats.org/officeDocument/2006/relationships/hyperlink" Target="https://www.sec.gov/Archives/edgar/data/1874875/000149315221026557/ex3-1.htm" TargetMode="External"/><Relationship Id="rId86" Type="http://schemas.openxmlformats.org/officeDocument/2006/relationships/hyperlink" Target="https://www.sec.gov/Archives/edgar/data/1874875/000149315221026557/ex3-2.htm" TargetMode="External"/><Relationship Id="rId87" Type="http://schemas.openxmlformats.org/officeDocument/2006/relationships/hyperlink" Target="https://www.sec.gov/Archives/edgar/data/1874875/000149315221026557/ex3-3.htm" TargetMode="External"/><Relationship Id="rId88" Type="http://schemas.openxmlformats.org/officeDocument/2006/relationships/hyperlink" Target="https://www.sec.gov/Archives/edgar/data/1874875/000149315221026557/ex3-4.htm" TargetMode="External"/><Relationship Id="rId89" Type="http://schemas.openxmlformats.org/officeDocument/2006/relationships/hyperlink" Target="https://www.sec.gov/Archives/edgar/data/1874875/000149315221031648/ex3-5.htm" TargetMode="External"/><Relationship Id="rId90" Type="http://schemas.openxmlformats.org/officeDocument/2006/relationships/hyperlink" Target="https://www.sec.gov/Archives/edgar/data/1874875/000149315221026557/ex3-5.htm" TargetMode="External"/><Relationship Id="rId91" Type="http://schemas.openxmlformats.org/officeDocument/2006/relationships/hyperlink" Target="https://www.sec.gov/Archives/edgar/data/1874875/000149315221031648/ex3-7.htm" TargetMode="External"/><Relationship Id="rId92" Type="http://schemas.openxmlformats.org/officeDocument/2006/relationships/hyperlink" Target="https://www.sec.gov/Archives/edgar/data/1874875/000149315226010532/ex3-1.htm" TargetMode="External"/><Relationship Id="rId93" Type="http://schemas.openxmlformats.org/officeDocument/2006/relationships/hyperlink" Target="https://www.sec.gov/Archives/edgar/data/1874875/000149315221026557/ex10-1.htm" TargetMode="External"/><Relationship Id="rId94" Type="http://schemas.openxmlformats.org/officeDocument/2006/relationships/hyperlink" Target="https://www.sec.gov/Archives/edgar/data/1874875/000149315221026557/ex10-2.htm" TargetMode="External"/><Relationship Id="rId95" Type="http://schemas.openxmlformats.org/officeDocument/2006/relationships/hyperlink" Target="https://www.sec.gov/Archives/edgar/data/1874875/000149315221026557/ex10-4.htm" TargetMode="External"/><Relationship Id="rId96" Type="http://schemas.openxmlformats.org/officeDocument/2006/relationships/hyperlink" Target="https://www.sec.gov/Archives/edgar/data/1874875/000149315221026557/ex10-5.htm" TargetMode="External"/><Relationship Id="rId97" Type="http://schemas.openxmlformats.org/officeDocument/2006/relationships/hyperlink" Target="https://www.sec.gov/Archives/edgar/data/1874875/000149315221026557/ex10-6.htm" TargetMode="External"/><Relationship Id="rId98" Type="http://schemas.openxmlformats.org/officeDocument/2006/relationships/hyperlink" Target="https://www.sec.gov/Archives/edgar/data/1874875/000149315221026557/ex10-7.htm" TargetMode="External"/><Relationship Id="rId99" Type="http://schemas.openxmlformats.org/officeDocument/2006/relationships/hyperlink" Target="https://www.sec.gov/Archives/edgar/data/1874875/000149315221026557/ex10-8.htm" TargetMode="External"/><Relationship Id="rId100" Type="http://schemas.openxmlformats.org/officeDocument/2006/relationships/hyperlink" Target="https://www.sec.gov/Archives/edgar/data/1874875/000149315221026557/ex10-9.htm" TargetMode="External"/><Relationship Id="rId101" Type="http://schemas.openxmlformats.org/officeDocument/2006/relationships/hyperlink" Target="https://www.sec.gov/Archives/edgar/data/1874875/000149315221026557/ex10-12.htm" TargetMode="External"/><Relationship Id="rId102" Type="http://schemas.openxmlformats.org/officeDocument/2006/relationships/hyperlink" Target="https://www.sec.gov/Archives/edgar/data/1874875/000149315222002310/ex10-1.htm" TargetMode="External"/><Relationship Id="rId103" Type="http://schemas.openxmlformats.org/officeDocument/2006/relationships/hyperlink" Target="https://www.sec.gov/Archives/edgar/data/1874875/000149315222002310/ex10-2.htm" TargetMode="External"/><Relationship Id="rId104" Type="http://schemas.openxmlformats.org/officeDocument/2006/relationships/hyperlink" Target="https://www.sec.gov/Archives/edgar/data/1874875/000149315223005929/ex10-1.htm" TargetMode="External"/><Relationship Id="rId105" Type="http://schemas.openxmlformats.org/officeDocument/2006/relationships/hyperlink" Target="https://www.sec.gov/Archives/edgar/data/1874875/000149315223005929/ex10-2.htm" TargetMode="External"/><Relationship Id="rId106" Type="http://schemas.openxmlformats.org/officeDocument/2006/relationships/hyperlink" Target="https://www.sec.gov/Archives/edgar/data/1874875/000149315223005929/ex10-3.htm" TargetMode="External"/><Relationship Id="rId107" Type="http://schemas.openxmlformats.org/officeDocument/2006/relationships/hyperlink" Target="https://www.sec.gov/Archives/edgar/data/1874875/000149315225010565/ex10-1.htm" TargetMode="External"/><Relationship Id="rId108" Type="http://schemas.openxmlformats.org/officeDocument/2006/relationships/hyperlink" Target="https://www.sec.gov/Archives/edgar/data/1874875/000149315225010565/ex10-2.htm" TargetMode="External"/><Relationship Id="rId109" Type="http://schemas.openxmlformats.org/officeDocument/2006/relationships/hyperlink" Target="https://www.sec.gov/Archives/edgar/data/1874875/000164117225022241/ex10-1.htm" TargetMode="External"/><Relationship Id="rId110" Type="http://schemas.openxmlformats.org/officeDocument/2006/relationships/hyperlink" Target="https://www.sec.gov/Archives/edgar/data/1874875/000164117225022241/ex10-2.htm" TargetMode="External"/><Relationship Id="rId111" Type="http://schemas.openxmlformats.org/officeDocument/2006/relationships/hyperlink" Target="https://www.sec.gov/Archives/edgar/data/1874875/000149315226008036/ex10-1.htm" TargetMode="External"/><Relationship Id="rId112" Type="http://schemas.openxmlformats.org/officeDocument/2006/relationships/hyperlink" Target="https://www.sec.gov/Archives/edgar/data/1874875/000149315226008036/ex10-2.htm" TargetMode="External"/><Relationship Id="rId113" Type="http://schemas.openxmlformats.org/officeDocument/2006/relationships/hyperlink" Target="https://www.sec.gov/Archives/edgar/data/1874875/000149315221026557/ex14-1.htm" TargetMode="External"/><Relationship Id="rId114" Type="http://schemas.openxmlformats.org/officeDocument/2006/relationships/hyperlink" Target="https://www.sec.gov/Archives/edgar/data/1874875/000149315224017849/ex19-1.htm" TargetMode="External"/><Relationship Id="rId115" Type="http://schemas.openxmlformats.org/officeDocument/2006/relationships/hyperlink" Target="https://www.sec.gov/Archives/edgar/data/1874875/000149315224011298/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2026-03-24T07:10:18Z</dcterms:created>
  <dcterms:modified xsi:type="dcterms:W3CDTF">2026-03-24T07:10:18Z</dcterms:modified>
</cp:coreProperties>
</file>